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pStyle w:val="Style_2"/>
        <w:rPr>
          <w:sz w:val="28"/>
        </w:rPr>
      </w:pPr>
    </w:p>
    <w:p w14:paraId="08000000">
      <w:pPr>
        <w:pStyle w:val="Style_2"/>
        <w:rPr>
          <w:sz w:val="28"/>
        </w:rPr>
      </w:pPr>
      <w:r>
        <w:rPr>
          <w:sz w:val="28"/>
        </w:rPr>
        <w:t>АДМИНИСТРАЦИЯ МУНИЦИПАЛЬНОГО ОБРАЗОВАНИЯ</w:t>
      </w:r>
    </w:p>
    <w:p w14:paraId="09000000">
      <w:pPr>
        <w:pStyle w:val="Style_3"/>
        <w:tabs>
          <w:tab w:leader="none" w:pos="2160" w:val="left"/>
          <w:tab w:leader="none" w:pos="17280" w:val="left"/>
        </w:tabs>
        <w:ind w:hanging="720" w:left="720"/>
        <w:jc w:val="center"/>
        <w:rPr>
          <w:sz w:val="28"/>
        </w:rPr>
      </w:pPr>
      <w:r>
        <w:rPr>
          <w:sz w:val="28"/>
        </w:rPr>
        <w:t>ОТРАДНЕНСКИЙ РАЙОН</w:t>
      </w:r>
    </w:p>
    <w:p w14:paraId="0A000000">
      <w:pPr>
        <w:rPr>
          <w:sz w:val="8"/>
        </w:rPr>
      </w:pPr>
    </w:p>
    <w:p w14:paraId="0B000000">
      <w:pPr>
        <w:pStyle w:val="Style_4"/>
        <w:tabs>
          <w:tab w:leader="none" w:pos="1296" w:val="left"/>
          <w:tab w:leader="none" w:pos="10368" w:val="left"/>
        </w:tabs>
        <w:ind w:hanging="431" w:left="431"/>
        <w:jc w:val="center"/>
        <w:rPr>
          <w:sz w:val="32"/>
        </w:rPr>
      </w:pPr>
      <w:r>
        <w:rPr>
          <w:b w:val="1"/>
          <w:sz w:val="32"/>
        </w:rPr>
        <w:t>ПОСТАНОВЛЕНИЕ</w:t>
      </w:r>
    </w:p>
    <w:p w14:paraId="0C000000">
      <w:pPr>
        <w:pStyle w:val="Style_2"/>
        <w:rPr>
          <w:sz w:val="28"/>
        </w:rPr>
      </w:pPr>
      <w:r>
        <w:rPr>
          <w:sz w:val="28"/>
        </w:rPr>
        <w:t xml:space="preserve">от </w:t>
      </w:r>
      <w:r>
        <w:rPr>
          <w:sz w:val="28"/>
          <w:u w:val="single"/>
        </w:rPr>
        <w:t>06.04.2026</w:t>
      </w:r>
      <w:r>
        <w:rPr>
          <w:sz w:val="28"/>
        </w:rPr>
        <w:tab/>
      </w:r>
      <w:r>
        <w:rPr>
          <w:sz w:val="28"/>
        </w:rPr>
        <w:tab/>
      </w:r>
      <w:r>
        <w:rPr>
          <w:sz w:val="28"/>
        </w:rPr>
        <w:tab/>
      </w:r>
      <w:r>
        <w:rPr>
          <w:sz w:val="28"/>
        </w:rPr>
        <w:t xml:space="preserve">                      </w:t>
      </w:r>
      <w:r>
        <w:rPr>
          <w:sz w:val="28"/>
        </w:rPr>
        <w:tab/>
      </w:r>
      <w:r>
        <w:rPr>
          <w:sz w:val="28"/>
        </w:rPr>
        <w:t xml:space="preserve">                                        </w:t>
      </w:r>
      <w:r>
        <w:rPr>
          <w:sz w:val="28"/>
        </w:rPr>
        <w:tab/>
      </w:r>
      <w:r>
        <w:rPr>
          <w:sz w:val="28"/>
        </w:rPr>
        <w:t xml:space="preserve">№ </w:t>
      </w:r>
      <w:r>
        <w:rPr>
          <w:sz w:val="28"/>
          <w:u w:val="single"/>
        </w:rPr>
        <w:t>174</w:t>
      </w:r>
    </w:p>
    <w:p w14:paraId="0D000000">
      <w:pPr>
        <w:pStyle w:val="Style_2"/>
        <w:rPr>
          <w:b w:val="0"/>
          <w:sz w:val="24"/>
        </w:rPr>
      </w:pPr>
      <w:r>
        <w:rPr>
          <w:b w:val="0"/>
          <w:sz w:val="24"/>
        </w:rPr>
        <w:t>ст-ца  Отрадная</w:t>
      </w:r>
    </w:p>
    <w:p w14:paraId="0E000000"/>
    <w:p w14:paraId="0F000000">
      <w:pPr>
        <w:ind/>
        <w:jc w:val="center"/>
        <w:rPr>
          <w:sz w:val="28"/>
        </w:rPr>
      </w:pPr>
    </w:p>
    <w:p w14:paraId="10000000">
      <w:pPr>
        <w:ind/>
        <w:jc w:val="center"/>
        <w:rPr>
          <w:b w:val="1"/>
          <w:sz w:val="28"/>
        </w:rPr>
      </w:pPr>
      <w:r>
        <w:rPr>
          <w:b w:val="1"/>
          <w:sz w:val="28"/>
        </w:rPr>
        <w:t xml:space="preserve">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w:t>
      </w:r>
    </w:p>
    <w:p w14:paraId="11000000">
      <w:pPr>
        <w:ind/>
        <w:jc w:val="center"/>
        <w:rPr>
          <w:b w:val="1"/>
          <w:sz w:val="28"/>
        </w:rPr>
      </w:pPr>
      <w:r>
        <w:rPr>
          <w:b w:val="1"/>
          <w:sz w:val="28"/>
        </w:rPr>
        <w:t xml:space="preserve">на территории муниципального образования </w:t>
      </w:r>
    </w:p>
    <w:p w14:paraId="12000000">
      <w:pPr>
        <w:ind/>
        <w:jc w:val="center"/>
        <w:rPr>
          <w:b w:val="1"/>
          <w:sz w:val="28"/>
        </w:rPr>
      </w:pPr>
      <w:r>
        <w:rPr>
          <w:b w:val="1"/>
          <w:sz w:val="28"/>
        </w:rPr>
        <w:t>Отрадненский район</w:t>
      </w:r>
    </w:p>
    <w:p w14:paraId="13000000">
      <w:pPr>
        <w:rPr>
          <w:b w:val="1"/>
          <w:sz w:val="28"/>
        </w:rPr>
      </w:pPr>
    </w:p>
    <w:p w14:paraId="14000000">
      <w:pPr>
        <w:ind/>
        <w:jc w:val="center"/>
        <w:rPr>
          <w:sz w:val="28"/>
        </w:rPr>
      </w:pPr>
    </w:p>
    <w:p w14:paraId="15000000">
      <w:pPr>
        <w:spacing w:line="200" w:lineRule="atLeast"/>
        <w:ind/>
        <w:jc w:val="both"/>
        <w:rPr>
          <w:sz w:val="28"/>
        </w:rPr>
      </w:pPr>
      <w:r>
        <w:rPr>
          <w:sz w:val="28"/>
        </w:rPr>
        <w:tab/>
      </w:r>
      <w:r>
        <w:rPr>
          <w:sz w:val="28"/>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руководствуясь постановлением администрации муниципального образования Отрадненский район от 25 марта 2026 года № 132 «Об утверждении Положения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п о с т а н о в л я ю:</w:t>
      </w:r>
    </w:p>
    <w:p w14:paraId="16000000">
      <w:pPr>
        <w:ind/>
        <w:jc w:val="both"/>
        <w:rPr>
          <w:sz w:val="28"/>
        </w:rPr>
      </w:pPr>
      <w:r>
        <w:rPr>
          <w:sz w:val="28"/>
        </w:rPr>
        <w:tab/>
      </w:r>
      <w:r>
        <w:rPr>
          <w:sz w:val="28"/>
        </w:rPr>
        <w:t>1. Объявить открытый конкурс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w:t>
      </w:r>
    </w:p>
    <w:p w14:paraId="17000000">
      <w:pPr>
        <w:ind w:firstLine="708" w:left="0"/>
        <w:jc w:val="both"/>
        <w:rPr>
          <w:sz w:val="28"/>
        </w:rPr>
      </w:pPr>
      <w:r>
        <w:rPr>
          <w:sz w:val="28"/>
        </w:rPr>
        <w:t>2. Утвердить извещение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 1 (приложение № 1).</w:t>
      </w:r>
    </w:p>
    <w:p w14:paraId="18000000">
      <w:pPr>
        <w:ind/>
        <w:jc w:val="both"/>
        <w:rPr>
          <w:sz w:val="28"/>
        </w:rPr>
      </w:pPr>
      <w:r>
        <w:rPr>
          <w:sz w:val="28"/>
        </w:rPr>
        <w:tab/>
      </w:r>
      <w:r>
        <w:rPr>
          <w:sz w:val="28"/>
        </w:rPr>
        <w:t xml:space="preserve">3. Утвердить конкурсную документацию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(приложение </w:t>
      </w:r>
      <w:r>
        <w:rPr>
          <w:sz w:val="28"/>
        </w:rPr>
        <w:t xml:space="preserve">              </w:t>
      </w:r>
      <w:r>
        <w:rPr>
          <w:sz w:val="28"/>
        </w:rPr>
        <w:t>№ 2).</w:t>
      </w:r>
    </w:p>
    <w:p w14:paraId="19000000">
      <w:pPr>
        <w:ind/>
        <w:jc w:val="both"/>
        <w:rPr>
          <w:sz w:val="28"/>
        </w:rPr>
      </w:pPr>
      <w:r>
        <w:rPr>
          <w:sz w:val="28"/>
        </w:rPr>
        <w:tab/>
      </w:r>
      <w:r>
        <w:rPr>
          <w:sz w:val="28"/>
        </w:rPr>
        <w:t>4. Утвердить основные характеристики и сведения о предмете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(приложение № 3).</w:t>
      </w:r>
    </w:p>
    <w:p w14:paraId="1A000000">
      <w:pPr>
        <w:ind w:firstLine="709" w:left="0"/>
        <w:jc w:val="both"/>
        <w:rPr>
          <w:sz w:val="28"/>
        </w:rPr>
      </w:pPr>
      <w:r>
        <w:rPr>
          <w:sz w:val="28"/>
        </w:rPr>
        <w:t xml:space="preserve">5. Отделу капитального строительства и единого заказчика администрации муниципального образования Отрадненский район </w:t>
      </w:r>
      <w:r>
        <w:rPr>
          <w:sz w:val="28"/>
        </w:rPr>
        <w:t xml:space="preserve">                      </w:t>
      </w:r>
      <w:r>
        <w:rPr>
          <w:sz w:val="28"/>
        </w:rPr>
        <w:t>(Степанян Г.Г.) обеспечить официальное опубликование (обнародование) настоящего постановления в установленном порядке.</w:t>
      </w:r>
    </w:p>
    <w:p w14:paraId="1B000000">
      <w:pPr>
        <w:ind/>
        <w:jc w:val="both"/>
        <w:rPr>
          <w:sz w:val="28"/>
        </w:rPr>
      </w:pPr>
      <w:r>
        <w:rPr>
          <w:sz w:val="28"/>
        </w:rPr>
        <w:tab/>
      </w:r>
      <w:r>
        <w:rPr>
          <w:sz w:val="28"/>
        </w:rPr>
        <w:t>6.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жилищно-коммунального хозяйства Запорожец С.В.</w:t>
      </w:r>
    </w:p>
    <w:p w14:paraId="1C000000">
      <w:pPr>
        <w:ind/>
        <w:jc w:val="both"/>
        <w:rPr>
          <w:sz w:val="28"/>
        </w:rPr>
      </w:pPr>
      <w:r>
        <w:rPr>
          <w:sz w:val="28"/>
        </w:rPr>
        <w:tab/>
      </w:r>
      <w:r>
        <w:rPr>
          <w:sz w:val="28"/>
        </w:rPr>
        <w:t xml:space="preserve">7. Постановление вступает в силу со дня его </w:t>
      </w:r>
      <w:r>
        <w:rPr>
          <w:sz w:val="28"/>
        </w:rPr>
        <w:t>официального опубликования (обнародования).</w:t>
      </w:r>
    </w:p>
    <w:p w14:paraId="1D000000">
      <w:pPr>
        <w:ind/>
        <w:jc w:val="both"/>
        <w:rPr>
          <w:sz w:val="28"/>
        </w:rPr>
      </w:pPr>
    </w:p>
    <w:p w14:paraId="1E000000">
      <w:pPr>
        <w:ind/>
        <w:jc w:val="both"/>
        <w:rPr>
          <w:sz w:val="28"/>
        </w:rPr>
      </w:pPr>
    </w:p>
    <w:p w14:paraId="1F000000">
      <w:pPr>
        <w:rPr>
          <w:sz w:val="28"/>
        </w:rPr>
      </w:pPr>
      <w:r>
        <w:rPr>
          <w:sz w:val="28"/>
        </w:rPr>
        <w:t xml:space="preserve">Глава муниципального образования </w:t>
      </w:r>
    </w:p>
    <w:p w14:paraId="20000000">
      <w:pPr>
        <w:rPr>
          <w:sz w:val="28"/>
        </w:rPr>
      </w:pPr>
      <w:r>
        <w:rPr>
          <w:sz w:val="28"/>
        </w:rPr>
        <w:t xml:space="preserve">Отрадненский район </w:t>
      </w:r>
      <w:r>
        <w:rPr>
          <w:sz w:val="28"/>
        </w:rPr>
        <w:tab/>
      </w:r>
      <w:r>
        <w:rPr>
          <w:sz w:val="28"/>
        </w:rPr>
        <w:tab/>
      </w:r>
      <w:r>
        <w:rPr>
          <w:sz w:val="28"/>
        </w:rPr>
        <w:tab/>
      </w:r>
      <w:r>
        <w:rPr>
          <w:sz w:val="28"/>
        </w:rPr>
        <w:tab/>
      </w:r>
      <w:r>
        <w:rPr>
          <w:sz w:val="28"/>
        </w:rPr>
        <w:tab/>
      </w:r>
      <w:r>
        <w:rPr>
          <w:sz w:val="28"/>
        </w:rPr>
        <w:tab/>
      </w:r>
      <w:r>
        <w:rPr>
          <w:sz w:val="28"/>
        </w:rPr>
        <w:tab/>
      </w:r>
      <w:r>
        <w:rPr>
          <w:sz w:val="28"/>
        </w:rPr>
        <w:t xml:space="preserve">            А.В.Волненко</w:t>
      </w:r>
    </w:p>
    <w:p w14:paraId="21000000">
      <w:pPr>
        <w:ind/>
        <w:jc w:val="center"/>
        <w:rPr>
          <w:sz w:val="28"/>
        </w:rPr>
      </w:pPr>
      <w:r>
        <w:rPr>
          <w:sz w:val="28"/>
        </w:rPr>
        <w:t xml:space="preserve"> </w:t>
      </w:r>
    </w:p>
    <w:p w14:paraId="22000000">
      <w:pPr>
        <w:sectPr>
          <w:headerReference r:id="rId2" w:type="default"/>
          <w:pgSz w:h="16838" w:orient="portrait" w:w="11906"/>
          <w:pgMar w:bottom="1134" w:footer="1134" w:gutter="0" w:header="1134" w:left="1701" w:right="567" w:top="1134"/>
          <w:titlePg/>
        </w:sectPr>
      </w:pPr>
    </w:p>
    <w:p w14:paraId="23000000">
      <w:pPr>
        <w:ind w:firstLine="0" w:left="5103"/>
        <w:jc w:val="center"/>
        <w:rPr>
          <w:sz w:val="28"/>
        </w:rPr>
      </w:pPr>
      <w:r>
        <w:rPr>
          <w:sz w:val="28"/>
        </w:rPr>
        <w:t>ПРИЛОЖЕНИЕ №</w:t>
      </w:r>
      <w:r>
        <w:rPr>
          <w:sz w:val="28"/>
        </w:rPr>
        <w:t xml:space="preserve"> </w:t>
      </w:r>
      <w:r>
        <w:rPr>
          <w:sz w:val="28"/>
        </w:rPr>
        <w:t>1</w:t>
      </w:r>
    </w:p>
    <w:p w14:paraId="24000000">
      <w:pPr>
        <w:ind w:firstLine="0" w:left="5103"/>
        <w:jc w:val="center"/>
        <w:rPr>
          <w:sz w:val="28"/>
        </w:rPr>
      </w:pPr>
    </w:p>
    <w:p w14:paraId="25000000">
      <w:pPr>
        <w:ind w:firstLine="0" w:left="5103"/>
        <w:jc w:val="center"/>
        <w:rPr>
          <w:sz w:val="28"/>
        </w:rPr>
      </w:pPr>
      <w:r>
        <w:rPr>
          <w:sz w:val="28"/>
        </w:rPr>
        <w:t>УТВЕРЖДЕНО</w:t>
      </w:r>
    </w:p>
    <w:p w14:paraId="26000000">
      <w:pPr>
        <w:ind w:firstLine="0" w:left="5103"/>
        <w:jc w:val="center"/>
        <w:rPr>
          <w:sz w:val="28"/>
        </w:rPr>
      </w:pPr>
      <w:r>
        <w:rPr>
          <w:sz w:val="28"/>
        </w:rPr>
        <w:t>постановлением администрации</w:t>
      </w:r>
    </w:p>
    <w:p w14:paraId="27000000">
      <w:pPr>
        <w:ind w:firstLine="0" w:left="5103"/>
        <w:jc w:val="center"/>
        <w:rPr>
          <w:sz w:val="28"/>
        </w:rPr>
      </w:pPr>
      <w:r>
        <w:rPr>
          <w:sz w:val="28"/>
        </w:rPr>
        <w:t>муниципального образования</w:t>
      </w:r>
    </w:p>
    <w:p w14:paraId="28000000">
      <w:pPr>
        <w:ind w:firstLine="0" w:left="5103"/>
        <w:jc w:val="center"/>
        <w:rPr>
          <w:sz w:val="28"/>
        </w:rPr>
      </w:pPr>
      <w:r>
        <w:rPr>
          <w:sz w:val="28"/>
        </w:rPr>
        <w:t>Отрадненский район</w:t>
      </w:r>
    </w:p>
    <w:p w14:paraId="29000000">
      <w:pPr>
        <w:ind w:firstLine="0" w:left="5103"/>
        <w:jc w:val="center"/>
        <w:rPr>
          <w:sz w:val="28"/>
        </w:rPr>
      </w:pPr>
      <w:r>
        <w:rPr>
          <w:sz w:val="28"/>
        </w:rPr>
        <w:t xml:space="preserve">от </w:t>
      </w:r>
      <w:r>
        <w:rPr>
          <w:sz w:val="28"/>
          <w:u w:val="single"/>
        </w:rPr>
        <w:t>06.04.2026</w:t>
      </w:r>
      <w:r>
        <w:rPr>
          <w:sz w:val="28"/>
        </w:rPr>
        <w:t xml:space="preserve"> № </w:t>
      </w:r>
      <w:r>
        <w:rPr>
          <w:sz w:val="28"/>
          <w:u w:val="single"/>
        </w:rPr>
        <w:t>174</w:t>
      </w:r>
    </w:p>
    <w:p w14:paraId="2A000000">
      <w:pPr>
        <w:ind/>
        <w:jc w:val="center"/>
        <w:rPr>
          <w:sz w:val="28"/>
        </w:rPr>
      </w:pPr>
    </w:p>
    <w:p w14:paraId="2B000000">
      <w:pPr>
        <w:ind/>
        <w:jc w:val="center"/>
        <w:rPr>
          <w:sz w:val="28"/>
        </w:rPr>
      </w:pPr>
    </w:p>
    <w:p w14:paraId="2C000000">
      <w:pPr>
        <w:ind/>
        <w:jc w:val="center"/>
        <w:rPr>
          <w:sz w:val="28"/>
        </w:rPr>
      </w:pPr>
      <w:r>
        <w:rPr>
          <w:sz w:val="28"/>
        </w:rPr>
        <w:t xml:space="preserve">ИЗВЕЩЕНИЕ № 1/2026 </w:t>
      </w:r>
    </w:p>
    <w:p w14:paraId="2D000000">
      <w:pPr>
        <w:ind/>
        <w:jc w:val="center"/>
        <w:rPr>
          <w:sz w:val="28"/>
        </w:rPr>
      </w:pPr>
      <w:r>
        <w:rPr>
          <w:sz w:val="28"/>
        </w:rPr>
        <w:t>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 1</w:t>
      </w:r>
    </w:p>
    <w:p w14:paraId="2E000000">
      <w:pPr>
        <w:rPr>
          <w:sz w:val="28"/>
        </w:rPr>
      </w:pPr>
    </w:p>
    <w:p w14:paraId="2F000000">
      <w:pPr>
        <w:ind w:firstLine="709" w:left="0"/>
        <w:jc w:val="both"/>
        <w:rPr>
          <w:sz w:val="28"/>
        </w:rPr>
      </w:pPr>
      <w:r>
        <w:rPr>
          <w:sz w:val="28"/>
        </w:rPr>
        <w:t>Организатор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организатор открытого конкурса): администрация муниципального образования Отрадненский район.</w:t>
      </w:r>
    </w:p>
    <w:p w14:paraId="30000000">
      <w:pPr>
        <w:ind w:firstLine="709" w:left="0"/>
        <w:jc w:val="both"/>
        <w:rPr>
          <w:sz w:val="28"/>
        </w:rPr>
      </w:pPr>
    </w:p>
    <w:p w14:paraId="31000000">
      <w:pPr>
        <w:ind w:firstLine="709" w:left="0"/>
        <w:jc w:val="both"/>
        <w:rPr>
          <w:sz w:val="28"/>
        </w:rPr>
      </w:pPr>
      <w:r>
        <w:rPr>
          <w:sz w:val="28"/>
        </w:rPr>
        <w:t>Контактная информация организатора открытого конкурса:</w:t>
      </w:r>
    </w:p>
    <w:p w14:paraId="32000000">
      <w:pPr>
        <w:ind/>
        <w:jc w:val="both"/>
        <w:rPr>
          <w:sz w:val="28"/>
        </w:rPr>
      </w:pPr>
      <w:r>
        <w:rPr>
          <w:sz w:val="28"/>
        </w:rPr>
        <w:t>352290, ст. Отрадная, ул. Первомайская, 28</w:t>
      </w:r>
    </w:p>
    <w:p w14:paraId="33000000">
      <w:pPr>
        <w:ind/>
        <w:jc w:val="both"/>
        <w:rPr>
          <w:sz w:val="28"/>
        </w:rPr>
      </w:pPr>
      <w:r>
        <w:rPr>
          <w:sz w:val="28"/>
        </w:rPr>
        <w:t xml:space="preserve">телефон: 8(861 44) 3-40-06, 3-41-06; </w:t>
      </w:r>
    </w:p>
    <w:p w14:paraId="34000000">
      <w:pPr>
        <w:ind/>
        <w:jc w:val="both"/>
        <w:rPr>
          <w:sz w:val="28"/>
        </w:rPr>
      </w:pPr>
      <w:r>
        <w:rPr>
          <w:sz w:val="28"/>
        </w:rPr>
        <w:t>официальный сайт: www.otradnaya.ru</w:t>
      </w:r>
    </w:p>
    <w:p w14:paraId="35000000">
      <w:pPr>
        <w:ind/>
        <w:jc w:val="both"/>
        <w:rPr>
          <w:sz w:val="28"/>
        </w:rPr>
      </w:pPr>
      <w:r>
        <w:rPr>
          <w:sz w:val="28"/>
        </w:rPr>
        <w:t>адрес электронной почты: otrad_gkh@otradnaya.ru</w:t>
      </w:r>
    </w:p>
    <w:p w14:paraId="36000000">
      <w:pPr>
        <w:ind w:firstLine="709" w:left="0"/>
        <w:jc w:val="both"/>
        <w:rPr>
          <w:sz w:val="28"/>
        </w:rPr>
      </w:pPr>
    </w:p>
    <w:p w14:paraId="37000000">
      <w:pPr>
        <w:ind w:firstLine="709" w:left="0"/>
        <w:jc w:val="both"/>
        <w:rPr>
          <w:sz w:val="28"/>
        </w:rPr>
      </w:pPr>
      <w:r>
        <w:rPr>
          <w:sz w:val="28"/>
        </w:rPr>
        <w:t xml:space="preserve">Контактное лицо по разъяснению положений Конкурсной документации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конкурсная документация): </w:t>
      </w:r>
      <w:r>
        <w:rPr>
          <w:sz w:val="28"/>
          <w:u w:val="single"/>
        </w:rPr>
        <w:t>Антонян Рафаэль Сарибекович</w:t>
      </w:r>
      <w:r>
        <w:rPr>
          <w:sz w:val="28"/>
        </w:rPr>
        <w:t>.</w:t>
      </w:r>
    </w:p>
    <w:p w14:paraId="38000000">
      <w:pPr>
        <w:ind w:firstLine="709" w:left="0"/>
        <w:jc w:val="both"/>
        <w:rPr>
          <w:sz w:val="28"/>
        </w:rPr>
      </w:pPr>
      <w:r>
        <w:rPr>
          <w:sz w:val="28"/>
        </w:rPr>
        <w:t>Предмет открытого конкурса: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открытый конкурс).</w:t>
      </w:r>
    </w:p>
    <w:p w14:paraId="39000000">
      <w:pPr>
        <w:ind/>
        <w:jc w:val="right"/>
        <w:rPr>
          <w:sz w:val="28"/>
        </w:rPr>
      </w:pPr>
    </w:p>
    <w:p w14:paraId="3A000000">
      <w:pPr>
        <w:ind/>
        <w:jc w:val="right"/>
        <w:rPr>
          <w:sz w:val="28"/>
        </w:rPr>
      </w:pPr>
      <w:r>
        <w:rPr>
          <w:sz w:val="28"/>
        </w:rPr>
        <w:t xml:space="preserve">Таблица </w:t>
      </w:r>
    </w:p>
    <w:tbl>
      <w:tblPr>
        <w:tblStyle w:val="Style_5"/>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34"/>
        <w:gridCol w:w="1298"/>
        <w:gridCol w:w="1400"/>
        <w:gridCol w:w="3539"/>
        <w:gridCol w:w="2268"/>
      </w:tblGrid>
      <w:tr>
        <w:trPr>
          <w:trHeight w:hRule="atLeast" w:val="897"/>
        </w:trPr>
        <w:tc>
          <w:tcPr>
            <w:tcW w:type="dxa" w:w="1134"/>
            <w:tcBorders>
              <w:top w:color="000000" w:sz="4" w:val="single"/>
              <w:left w:color="000000" w:sz="4" w:val="single"/>
              <w:bottom w:color="000000" w:sz="4" w:val="single"/>
              <w:right w:color="000000" w:sz="4" w:val="single"/>
            </w:tcBorders>
            <w:shd w:fill="auto" w:val="clear"/>
            <w:vAlign w:val="center"/>
          </w:tcPr>
          <w:p w14:paraId="3B000000">
            <w:pPr>
              <w:ind/>
              <w:jc w:val="center"/>
              <w:rPr>
                <w:sz w:val="28"/>
              </w:rPr>
            </w:pPr>
            <w:r>
              <w:rPr>
                <w:sz w:val="28"/>
              </w:rPr>
              <w:t>№ лота</w:t>
            </w:r>
          </w:p>
        </w:tc>
        <w:tc>
          <w:tcPr>
            <w:tcW w:type="dxa" w:w="1298"/>
            <w:tcBorders>
              <w:top w:color="000000" w:sz="4" w:val="single"/>
              <w:left w:color="000000" w:sz="4" w:val="single"/>
              <w:bottom w:color="000000" w:sz="4" w:val="single"/>
              <w:right w:color="000000" w:sz="4" w:val="single"/>
            </w:tcBorders>
            <w:shd w:fill="auto" w:val="clear"/>
            <w:vAlign w:val="center"/>
          </w:tcPr>
          <w:p w14:paraId="3C000000">
            <w:pPr>
              <w:ind/>
              <w:jc w:val="center"/>
              <w:rPr>
                <w:sz w:val="28"/>
              </w:rPr>
            </w:pPr>
            <w:r>
              <w:rPr>
                <w:sz w:val="28"/>
              </w:rPr>
              <w:t>№ в</w:t>
            </w:r>
          </w:p>
          <w:p w14:paraId="3D000000">
            <w:pPr>
              <w:ind/>
              <w:jc w:val="center"/>
              <w:rPr>
                <w:sz w:val="28"/>
              </w:rPr>
            </w:pPr>
            <w:r>
              <w:rPr>
                <w:sz w:val="28"/>
              </w:rPr>
              <w:t>реестре</w:t>
            </w:r>
          </w:p>
        </w:tc>
        <w:tc>
          <w:tcPr>
            <w:tcW w:type="dxa" w:w="1400"/>
            <w:tcBorders>
              <w:top w:color="000000" w:sz="4" w:val="single"/>
              <w:left w:color="000000" w:sz="4" w:val="single"/>
              <w:bottom w:color="000000" w:sz="4" w:val="single"/>
              <w:right w:color="000000" w:sz="4" w:val="single"/>
            </w:tcBorders>
            <w:shd w:fill="auto" w:val="clear"/>
            <w:vAlign w:val="center"/>
          </w:tcPr>
          <w:p w14:paraId="3E000000">
            <w:pPr>
              <w:ind/>
              <w:jc w:val="center"/>
              <w:rPr>
                <w:sz w:val="28"/>
              </w:rPr>
            </w:pPr>
            <w:r>
              <w:rPr>
                <w:sz w:val="28"/>
              </w:rPr>
              <w:t>№</w:t>
            </w:r>
          </w:p>
          <w:p w14:paraId="3F000000">
            <w:pPr>
              <w:ind/>
              <w:jc w:val="center"/>
              <w:rPr>
                <w:sz w:val="28"/>
              </w:rPr>
            </w:pPr>
            <w:r>
              <w:rPr>
                <w:sz w:val="28"/>
              </w:rPr>
              <w:t>маршрута</w:t>
            </w:r>
          </w:p>
        </w:tc>
        <w:tc>
          <w:tcPr>
            <w:tcW w:type="dxa" w:w="3539"/>
            <w:tcBorders>
              <w:top w:color="000000" w:sz="4" w:val="single"/>
              <w:left w:color="000000" w:sz="4" w:val="single"/>
              <w:bottom w:color="000000" w:sz="4" w:val="single"/>
              <w:right w:color="000000" w:sz="4" w:val="single"/>
            </w:tcBorders>
            <w:shd w:fill="auto" w:val="clear"/>
            <w:vAlign w:val="center"/>
          </w:tcPr>
          <w:p w14:paraId="40000000">
            <w:pPr>
              <w:ind/>
              <w:jc w:val="center"/>
              <w:rPr>
                <w:sz w:val="28"/>
              </w:rPr>
            </w:pPr>
            <w:r>
              <w:rPr>
                <w:sz w:val="28"/>
              </w:rPr>
              <w:t>Наименование маршрута</w:t>
            </w:r>
          </w:p>
        </w:tc>
        <w:tc>
          <w:tcPr>
            <w:tcW w:type="dxa" w:w="2268"/>
            <w:tcBorders>
              <w:top w:color="000000" w:sz="4" w:val="single"/>
              <w:left w:color="000000" w:sz="4" w:val="single"/>
              <w:bottom w:color="000000" w:sz="4" w:val="single"/>
              <w:right w:color="000000" w:sz="4" w:val="single"/>
            </w:tcBorders>
            <w:shd w:fill="auto" w:val="clear"/>
            <w:vAlign w:val="center"/>
          </w:tcPr>
          <w:p w14:paraId="41000000">
            <w:pPr>
              <w:ind/>
              <w:jc w:val="center"/>
              <w:rPr>
                <w:sz w:val="28"/>
              </w:rPr>
            </w:pPr>
            <w:r>
              <w:rPr>
                <w:sz w:val="28"/>
              </w:rPr>
              <w:t>Вид маршрута</w:t>
            </w:r>
          </w:p>
        </w:tc>
      </w:tr>
      <w:tr>
        <w:trPr>
          <w:trHeight w:hRule="atLeast" w:val="417"/>
        </w:trPr>
        <w:tc>
          <w:tcPr>
            <w:tcW w:type="dxa" w:w="1134"/>
            <w:tcBorders>
              <w:top w:color="000000" w:sz="4" w:val="single"/>
              <w:left w:color="000000" w:sz="4" w:val="single"/>
              <w:bottom w:color="000000" w:sz="4" w:val="single"/>
              <w:right w:color="000000" w:sz="4" w:val="single"/>
            </w:tcBorders>
            <w:shd w:fill="auto" w:val="clear"/>
            <w:vAlign w:val="center"/>
          </w:tcPr>
          <w:p w14:paraId="42000000">
            <w:pPr>
              <w:ind/>
              <w:jc w:val="center"/>
              <w:rPr>
                <w:sz w:val="28"/>
              </w:rPr>
            </w:pPr>
            <w:r>
              <w:rPr>
                <w:sz w:val="28"/>
              </w:rPr>
              <w:t>1</w:t>
            </w:r>
          </w:p>
        </w:tc>
        <w:tc>
          <w:tcPr>
            <w:tcW w:type="dxa" w:w="1298"/>
            <w:tcBorders>
              <w:top w:color="000000" w:sz="4" w:val="single"/>
              <w:left w:color="000000" w:sz="4" w:val="single"/>
              <w:bottom w:color="000000" w:sz="4" w:val="single"/>
              <w:right w:color="000000" w:sz="4" w:val="single"/>
            </w:tcBorders>
            <w:shd w:fill="auto" w:val="clear"/>
            <w:vAlign w:val="center"/>
          </w:tcPr>
          <w:p w14:paraId="43000000">
            <w:pPr>
              <w:ind/>
              <w:jc w:val="center"/>
              <w:rPr>
                <w:sz w:val="28"/>
              </w:rPr>
            </w:pPr>
            <w:r>
              <w:rPr>
                <w:sz w:val="28"/>
              </w:rPr>
              <w:t>18</w:t>
            </w:r>
          </w:p>
        </w:tc>
        <w:tc>
          <w:tcPr>
            <w:tcW w:type="dxa" w:w="1400"/>
            <w:tcBorders>
              <w:top w:color="000000" w:sz="4" w:val="single"/>
              <w:left w:color="000000" w:sz="4" w:val="single"/>
              <w:bottom w:color="000000" w:sz="4" w:val="single"/>
              <w:right w:color="000000" w:sz="4" w:val="single"/>
            </w:tcBorders>
            <w:shd w:fill="auto" w:val="clear"/>
            <w:vAlign w:val="center"/>
          </w:tcPr>
          <w:p w14:paraId="44000000">
            <w:pPr>
              <w:ind/>
              <w:jc w:val="center"/>
              <w:rPr>
                <w:sz w:val="28"/>
              </w:rPr>
            </w:pPr>
            <w:r>
              <w:rPr>
                <w:sz w:val="28"/>
              </w:rPr>
              <w:t>134/1</w:t>
            </w:r>
          </w:p>
        </w:tc>
        <w:tc>
          <w:tcPr>
            <w:tcW w:type="dxa" w:w="3539"/>
            <w:tcBorders>
              <w:top w:color="000000" w:sz="4" w:val="single"/>
              <w:left w:color="000000" w:sz="4" w:val="single"/>
              <w:bottom w:color="000000" w:sz="4" w:val="single"/>
              <w:right w:color="000000" w:sz="4" w:val="single"/>
            </w:tcBorders>
            <w:shd w:fill="auto" w:val="clear"/>
            <w:vAlign w:val="center"/>
          </w:tcPr>
          <w:p w14:paraId="45000000">
            <w:pPr>
              <w:ind/>
              <w:jc w:val="center"/>
              <w:rPr>
                <w:sz w:val="28"/>
              </w:rPr>
            </w:pPr>
            <w:r>
              <w:rPr>
                <w:sz w:val="28"/>
              </w:rPr>
              <w:t>Отрадная - Кубрань</w:t>
            </w:r>
          </w:p>
        </w:tc>
        <w:tc>
          <w:tcPr>
            <w:tcW w:type="dxa" w:w="2268"/>
            <w:tcBorders>
              <w:top w:color="000000" w:sz="4" w:val="single"/>
              <w:left w:color="000000" w:sz="4" w:val="single"/>
              <w:bottom w:color="000000" w:sz="4" w:val="single"/>
              <w:right w:color="000000" w:sz="4" w:val="single"/>
            </w:tcBorders>
            <w:shd w:fill="auto" w:val="clear"/>
            <w:vAlign w:val="center"/>
          </w:tcPr>
          <w:p w14:paraId="46000000">
            <w:pPr>
              <w:ind/>
              <w:jc w:val="center"/>
              <w:rPr>
                <w:sz w:val="28"/>
              </w:rPr>
            </w:pPr>
            <w:r>
              <w:rPr>
                <w:sz w:val="28"/>
              </w:rPr>
              <w:t>пригородный</w:t>
            </w:r>
          </w:p>
        </w:tc>
      </w:tr>
      <w:tr>
        <w:trPr>
          <w:trHeight w:hRule="atLeast" w:val="417"/>
        </w:trPr>
        <w:tc>
          <w:tcPr>
            <w:tcW w:type="dxa" w:w="1134"/>
            <w:tcBorders>
              <w:top w:color="000000" w:sz="4" w:val="single"/>
              <w:left w:color="000000" w:sz="4" w:val="single"/>
              <w:bottom w:color="000000" w:sz="4" w:val="single"/>
              <w:right w:color="000000" w:sz="4" w:val="single"/>
            </w:tcBorders>
            <w:shd w:fill="auto" w:val="clear"/>
            <w:vAlign w:val="center"/>
          </w:tcPr>
          <w:p w14:paraId="47000000">
            <w:pPr>
              <w:ind/>
              <w:jc w:val="center"/>
              <w:rPr>
                <w:sz w:val="28"/>
              </w:rPr>
            </w:pPr>
            <w:r>
              <w:rPr>
                <w:sz w:val="28"/>
              </w:rPr>
              <w:t>2</w:t>
            </w:r>
          </w:p>
        </w:tc>
        <w:tc>
          <w:tcPr>
            <w:tcW w:type="dxa" w:w="129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8000000">
            <w:pPr>
              <w:ind/>
              <w:jc w:val="center"/>
              <w:rPr>
                <w:sz w:val="28"/>
              </w:rPr>
            </w:pPr>
            <w:r>
              <w:rPr>
                <w:sz w:val="28"/>
              </w:rPr>
              <w:t>19</w:t>
            </w:r>
          </w:p>
        </w:tc>
        <w:tc>
          <w:tcPr>
            <w:tcW w:type="dxa" w:w="14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9000000">
            <w:pPr>
              <w:ind/>
              <w:jc w:val="center"/>
              <w:rPr>
                <w:sz w:val="28"/>
              </w:rPr>
            </w:pPr>
            <w:r>
              <w:rPr>
                <w:sz w:val="28"/>
              </w:rPr>
              <w:t>134/3</w:t>
            </w:r>
          </w:p>
        </w:tc>
        <w:tc>
          <w:tcPr>
            <w:tcW w:type="dxa" w:w="3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A000000">
            <w:pPr>
              <w:ind/>
              <w:jc w:val="center"/>
              <w:rPr>
                <w:sz w:val="28"/>
              </w:rPr>
            </w:pPr>
            <w:r>
              <w:rPr>
                <w:sz w:val="28"/>
              </w:rPr>
              <w:t>Отрадная - Кубрань</w:t>
            </w:r>
          </w:p>
        </w:tc>
        <w:tc>
          <w:tcPr>
            <w:tcW w:type="dxa" w:w="2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B000000">
            <w:pPr>
              <w:ind/>
              <w:jc w:val="center"/>
              <w:rPr>
                <w:sz w:val="28"/>
              </w:rPr>
            </w:pPr>
            <w:r>
              <w:rPr>
                <w:sz w:val="28"/>
              </w:rPr>
              <w:t>пригородный</w:t>
            </w:r>
          </w:p>
        </w:tc>
      </w:tr>
    </w:tbl>
    <w:p w14:paraId="4C000000">
      <w:pPr>
        <w:ind/>
        <w:jc w:val="both"/>
        <w:rPr>
          <w:sz w:val="28"/>
        </w:rPr>
      </w:pPr>
      <w:r>
        <w:rPr>
          <w:sz w:val="28"/>
        </w:rPr>
        <w:t>Срок, место и порядок предоставления Конкурсной документации: после опубликования на официальном сайте организатора открытого конкурса извещения о проведении открытого конкурса на получение права осуществления перевозок об осуществлении перевозок по одному или нескольким муниципальным маршрутам регулярных перевозок на территории муниципального образования Отрадненский район,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предоставляет заявителю Конкурсную документацию. Конкурсная документация выдаётся заявителю по фактическому адресу организатора открытого конкурса ежедневно, кроме субботы, воскресенья и нерабочих праздничных дней, с 09:00 до 18:00 (перерыв с 13:00 до 14:00), пятница с 09:00 до 17:00 (перерыв с 13:00 до 14:00), накануне нерабочих праздничных дней с 09:00 до 17:00 (перерыв с 13:00 до 14:00), а также размещается на официальном сайте организатора открытого конкурса.</w:t>
      </w:r>
    </w:p>
    <w:p w14:paraId="4D000000">
      <w:pPr>
        <w:ind/>
        <w:jc w:val="both"/>
        <w:rPr>
          <w:sz w:val="28"/>
        </w:rPr>
      </w:pPr>
    </w:p>
    <w:p w14:paraId="4E000000">
      <w:pPr>
        <w:ind/>
        <w:jc w:val="both"/>
        <w:rPr>
          <w:sz w:val="28"/>
        </w:rPr>
      </w:pPr>
      <w:r>
        <w:rPr>
          <w:sz w:val="28"/>
        </w:rPr>
        <w:t>Взимание платы за предоставление Конкурсной документации на бумажном носителе не предусмотрено.</w:t>
      </w:r>
    </w:p>
    <w:p w14:paraId="4F000000">
      <w:pPr>
        <w:ind/>
        <w:jc w:val="both"/>
        <w:rPr>
          <w:sz w:val="28"/>
        </w:rPr>
      </w:pPr>
    </w:p>
    <w:p w14:paraId="50000000">
      <w:pPr>
        <w:ind/>
        <w:jc w:val="both"/>
        <w:rPr>
          <w:sz w:val="28"/>
        </w:rPr>
      </w:pPr>
      <w:r>
        <w:rPr>
          <w:sz w:val="28"/>
        </w:rPr>
        <w:t>Место, дата и время вскрытия конвертов с заявками на участие в открытом конкурсе, а также место и дата рассмотрения таких заявок и подведение итогов открытого конкурса:</w:t>
      </w:r>
    </w:p>
    <w:p w14:paraId="51000000">
      <w:pPr>
        <w:ind/>
        <w:jc w:val="both"/>
        <w:rPr>
          <w:sz w:val="28"/>
        </w:rPr>
      </w:pPr>
      <w:r>
        <w:rPr>
          <w:sz w:val="28"/>
        </w:rPr>
        <w:t>Конверты с заявками на участие в открытом конкурсе принимаются и регистрируются с 10 апреля 2026 года по 11 мая 2026 года по адресу: 352290, ст. Отрадная, ул. Первомайская, 28, 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w:t>
      </w:r>
    </w:p>
    <w:p w14:paraId="52000000">
      <w:pPr>
        <w:ind/>
        <w:jc w:val="both"/>
        <w:rPr>
          <w:sz w:val="28"/>
        </w:rPr>
      </w:pPr>
    </w:p>
    <w:p w14:paraId="53000000">
      <w:pPr>
        <w:ind/>
        <w:jc w:val="both"/>
        <w:rPr>
          <w:sz w:val="28"/>
        </w:rPr>
      </w:pPr>
      <w:r>
        <w:rPr>
          <w:sz w:val="28"/>
        </w:rPr>
        <w:t>В кабинете № 23, расположенном на 1 этаже здания по адресу: станица Отрадная, улица Первомайская, дом № 28, 12 мая 2026 года в 10 час. 00 мин. конкурсной комиссией вскрываются конверты с заявками на участие в Открытом конкурсе.</w:t>
      </w:r>
    </w:p>
    <w:p w14:paraId="54000000">
      <w:pPr>
        <w:ind/>
        <w:jc w:val="both"/>
        <w:rPr>
          <w:sz w:val="28"/>
        </w:rPr>
      </w:pPr>
    </w:p>
    <w:p w14:paraId="55000000">
      <w:pPr>
        <w:ind/>
        <w:jc w:val="both"/>
        <w:rPr>
          <w:sz w:val="28"/>
        </w:rPr>
      </w:pPr>
      <w:r>
        <w:rPr>
          <w:sz w:val="28"/>
        </w:rPr>
        <w:t>Рассмотрение заявок на участие в открытом конкурсе осуществляется организатором открытого конкурса в период с 12 мая 2026 года по 14 мая 2026 года по месту приема заявок.</w:t>
      </w:r>
    </w:p>
    <w:p w14:paraId="56000000">
      <w:pPr>
        <w:ind/>
        <w:jc w:val="both"/>
        <w:rPr>
          <w:sz w:val="28"/>
        </w:rPr>
      </w:pPr>
    </w:p>
    <w:p w14:paraId="57000000">
      <w:pPr>
        <w:ind/>
        <w:jc w:val="both"/>
        <w:rPr>
          <w:sz w:val="28"/>
        </w:rPr>
      </w:pPr>
      <w:r>
        <w:rPr>
          <w:sz w:val="28"/>
        </w:rPr>
        <w:t>Заседание конкурсной комиссии и подведение итогов открытого конкурса состоится 15 мая 2026 года в 14 час. 00 мин. в кабинете № 17 на 2 этаже здания по адресу: ст. Отрадная, ул. Первомайская, д. 28.</w:t>
      </w:r>
    </w:p>
    <w:p w14:paraId="58000000">
      <w:pPr>
        <w:rPr>
          <w:sz w:val="28"/>
        </w:rPr>
      </w:pPr>
    </w:p>
    <w:p w14:paraId="59000000">
      <w:pPr>
        <w:rPr>
          <w:sz w:val="28"/>
        </w:rPr>
      </w:pPr>
      <w:r>
        <w:rPr>
          <w:sz w:val="28"/>
        </w:rPr>
        <w:t xml:space="preserve">Заместитель главы муниципального образования </w:t>
      </w:r>
    </w:p>
    <w:p w14:paraId="5A000000">
      <w:pPr>
        <w:rPr>
          <w:sz w:val="28"/>
        </w:rPr>
      </w:pPr>
      <w:r>
        <w:rPr>
          <w:sz w:val="28"/>
        </w:rPr>
        <w:t xml:space="preserve">Отрадненский район по вопросам строительства </w:t>
      </w:r>
    </w:p>
    <w:p w14:paraId="5B000000">
      <w:pPr>
        <w:rPr>
          <w:sz w:val="28"/>
        </w:rPr>
      </w:pPr>
      <w:r>
        <w:rPr>
          <w:sz w:val="28"/>
        </w:rPr>
        <w:t>и жилищно-коммунального хозяйства                                             С.В. Запорожец</w:t>
      </w:r>
    </w:p>
    <w:p w14:paraId="5C000000">
      <w:pPr>
        <w:sectPr>
          <w:headerReference r:id="rId3" w:type="default"/>
          <w:pgSz w:h="16800" w:orient="portrait" w:w="11900"/>
          <w:pgMar w:bottom="851" w:footer="720" w:gutter="0" w:header="720" w:left="1701" w:right="567" w:top="1134"/>
          <w:pgNumType w:start="1"/>
          <w:titlePg/>
        </w:sectPr>
      </w:pPr>
    </w:p>
    <w:p w14:paraId="5D000000">
      <w:pPr>
        <w:ind w:firstLine="0" w:left="5103"/>
        <w:jc w:val="center"/>
        <w:rPr>
          <w:sz w:val="28"/>
        </w:rPr>
      </w:pPr>
      <w:r>
        <w:rPr>
          <w:sz w:val="28"/>
        </w:rPr>
        <w:t>ПРИЛОЖЕНИЕ №</w:t>
      </w:r>
      <w:r>
        <w:rPr>
          <w:sz w:val="28"/>
        </w:rPr>
        <w:t xml:space="preserve"> </w:t>
      </w:r>
      <w:r>
        <w:rPr>
          <w:sz w:val="28"/>
        </w:rPr>
        <w:t>2</w:t>
      </w:r>
    </w:p>
    <w:p w14:paraId="5E000000">
      <w:pPr>
        <w:ind w:firstLine="0" w:left="5103"/>
        <w:jc w:val="center"/>
        <w:rPr>
          <w:sz w:val="28"/>
        </w:rPr>
      </w:pPr>
    </w:p>
    <w:p w14:paraId="5F000000">
      <w:pPr>
        <w:ind w:firstLine="0" w:left="5103"/>
        <w:jc w:val="center"/>
        <w:rPr>
          <w:sz w:val="28"/>
        </w:rPr>
      </w:pPr>
      <w:r>
        <w:rPr>
          <w:sz w:val="28"/>
        </w:rPr>
        <w:t>УТВЕРЖДЕНА</w:t>
      </w:r>
    </w:p>
    <w:p w14:paraId="60000000">
      <w:pPr>
        <w:ind w:firstLine="0" w:left="5103"/>
        <w:jc w:val="center"/>
        <w:rPr>
          <w:sz w:val="28"/>
        </w:rPr>
      </w:pPr>
      <w:r>
        <w:rPr>
          <w:sz w:val="28"/>
        </w:rPr>
        <w:t>постановлением администрации</w:t>
      </w:r>
    </w:p>
    <w:p w14:paraId="61000000">
      <w:pPr>
        <w:ind w:firstLine="0" w:left="5103"/>
        <w:jc w:val="center"/>
        <w:rPr>
          <w:sz w:val="28"/>
        </w:rPr>
      </w:pPr>
      <w:r>
        <w:rPr>
          <w:sz w:val="28"/>
        </w:rPr>
        <w:t>муниципального образования</w:t>
      </w:r>
    </w:p>
    <w:p w14:paraId="62000000">
      <w:pPr>
        <w:ind w:firstLine="0" w:left="5103"/>
        <w:jc w:val="center"/>
        <w:rPr>
          <w:sz w:val="28"/>
        </w:rPr>
      </w:pPr>
      <w:r>
        <w:rPr>
          <w:sz w:val="28"/>
        </w:rPr>
        <w:t>Отрадненский район</w:t>
      </w:r>
    </w:p>
    <w:p w14:paraId="63000000">
      <w:pPr>
        <w:ind w:firstLine="0" w:left="5103"/>
        <w:jc w:val="center"/>
        <w:rPr>
          <w:sz w:val="28"/>
        </w:rPr>
      </w:pPr>
      <w:r>
        <w:rPr>
          <w:sz w:val="28"/>
        </w:rPr>
        <w:t xml:space="preserve">от </w:t>
      </w:r>
      <w:r>
        <w:rPr>
          <w:sz w:val="28"/>
          <w:u w:val="single"/>
        </w:rPr>
        <w:t>06.04.2026</w:t>
      </w:r>
      <w:r>
        <w:rPr>
          <w:sz w:val="28"/>
        </w:rPr>
        <w:t xml:space="preserve"> № </w:t>
      </w:r>
      <w:r>
        <w:rPr>
          <w:sz w:val="28"/>
          <w:u w:val="single"/>
        </w:rPr>
        <w:t>174</w:t>
      </w:r>
    </w:p>
    <w:p w14:paraId="64000000">
      <w:pPr>
        <w:ind/>
        <w:jc w:val="both"/>
        <w:rPr>
          <w:sz w:val="28"/>
        </w:rPr>
      </w:pPr>
    </w:p>
    <w:p w14:paraId="65000000">
      <w:pPr>
        <w:pStyle w:val="Style_4"/>
        <w:ind/>
        <w:jc w:val="center"/>
      </w:pPr>
    </w:p>
    <w:p w14:paraId="66000000">
      <w:pPr>
        <w:pStyle w:val="Style_4"/>
        <w:ind/>
        <w:jc w:val="center"/>
      </w:pPr>
    </w:p>
    <w:p w14:paraId="67000000">
      <w:pPr>
        <w:pStyle w:val="Style_4"/>
        <w:ind/>
        <w:jc w:val="center"/>
      </w:pPr>
      <w:r>
        <w:t xml:space="preserve">КОНКУРСНАЯ ДОКУМЕНТАЦИЯ  </w:t>
      </w:r>
    </w:p>
    <w:p w14:paraId="68000000">
      <w:pPr>
        <w:pStyle w:val="Style_4"/>
        <w:ind/>
        <w:jc w:val="center"/>
      </w:pPr>
      <w:r>
        <w:t>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w:t>
      </w:r>
    </w:p>
    <w:p w14:paraId="69000000">
      <w:pPr>
        <w:ind/>
        <w:jc w:val="center"/>
        <w:rPr>
          <w:sz w:val="28"/>
        </w:rPr>
      </w:pPr>
    </w:p>
    <w:p w14:paraId="6A000000">
      <w:pPr>
        <w:ind/>
        <w:jc w:val="center"/>
        <w:rPr>
          <w:sz w:val="28"/>
        </w:rPr>
      </w:pPr>
    </w:p>
    <w:p w14:paraId="6B000000">
      <w:pPr>
        <w:pStyle w:val="Style_4"/>
        <w:ind/>
        <w:jc w:val="center"/>
      </w:pPr>
      <w:r>
        <w:t>1. Общие положения</w:t>
      </w:r>
    </w:p>
    <w:p w14:paraId="6C000000">
      <w:pPr>
        <w:ind w:firstLine="709" w:left="0"/>
        <w:jc w:val="both"/>
        <w:rPr>
          <w:sz w:val="28"/>
        </w:rPr>
      </w:pPr>
    </w:p>
    <w:p w14:paraId="6D000000">
      <w:pPr>
        <w:ind w:firstLine="709" w:left="0"/>
        <w:jc w:val="both"/>
        <w:rPr>
          <w:sz w:val="28"/>
        </w:rPr>
      </w:pPr>
      <w:r>
        <w:rPr>
          <w:sz w:val="28"/>
        </w:rPr>
        <w:t xml:space="preserve">1.1. Конкурсная документация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конкурсная документация) разработана в соответствии с </w:t>
      </w:r>
      <w:r>
        <w:rPr>
          <w:rStyle w:val="Style_6_ch"/>
          <w:b w:val="0"/>
          <w:color w:val="000000"/>
          <w:sz w:val="28"/>
        </w:rPr>
        <w:fldChar w:fldCharType="begin"/>
      </w:r>
      <w:r>
        <w:rPr>
          <w:rStyle w:val="Style_6_ch"/>
          <w:b w:val="0"/>
          <w:color w:val="000000"/>
          <w:sz w:val="28"/>
        </w:rPr>
        <w:instrText>HYPERLINK "garantF1://71029200.0"</w:instrText>
      </w:r>
      <w:r>
        <w:rPr>
          <w:rStyle w:val="Style_6_ch"/>
          <w:b w:val="0"/>
          <w:color w:val="000000"/>
          <w:sz w:val="28"/>
        </w:rPr>
        <w:fldChar w:fldCharType="separate"/>
      </w:r>
      <w:r>
        <w:rPr>
          <w:rStyle w:val="Style_6_ch"/>
          <w:b w:val="0"/>
          <w:color w:val="000000"/>
          <w:sz w:val="28"/>
        </w:rPr>
        <w:t>Федеральным законом</w:t>
      </w:r>
      <w:r>
        <w:rPr>
          <w:rStyle w:val="Style_6_ch"/>
          <w:b w:val="0"/>
          <w:color w:val="000000"/>
          <w:sz w:val="28"/>
        </w:rPr>
        <w:fldChar w:fldCharType="end"/>
      </w:r>
      <w:r>
        <w:rPr>
          <w:sz w:val="28"/>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w:t>
      </w:r>
      <w:r>
        <w:rPr>
          <w:rStyle w:val="Style_6_ch"/>
          <w:b w:val="0"/>
          <w:color w:val="000000"/>
          <w:sz w:val="28"/>
        </w:rPr>
        <w:fldChar w:fldCharType="begin"/>
      </w:r>
      <w:r>
        <w:rPr>
          <w:rStyle w:val="Style_6_ch"/>
          <w:b w:val="0"/>
          <w:color w:val="000000"/>
          <w:sz w:val="28"/>
        </w:rPr>
        <w:instrText>HYPERLINK "garantF1://23801193.0"</w:instrText>
      </w:r>
      <w:r>
        <w:rPr>
          <w:rStyle w:val="Style_6_ch"/>
          <w:b w:val="0"/>
          <w:color w:val="000000"/>
          <w:sz w:val="28"/>
        </w:rPr>
        <w:fldChar w:fldCharType="separate"/>
      </w:r>
      <w:r>
        <w:rPr>
          <w:rStyle w:val="Style_6_ch"/>
          <w:b w:val="0"/>
          <w:color w:val="000000"/>
          <w:sz w:val="28"/>
        </w:rPr>
        <w:t>Законом</w:t>
      </w:r>
      <w:r>
        <w:rPr>
          <w:rStyle w:val="Style_6_ch"/>
          <w:b w:val="0"/>
          <w:color w:val="000000"/>
          <w:sz w:val="28"/>
        </w:rPr>
        <w:fldChar w:fldCharType="end"/>
      </w:r>
      <w:r>
        <w:rPr>
          <w:sz w:val="28"/>
        </w:rPr>
        <w:t xml:space="preserve">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(далее - Закон № 3931-КЗ), руководствуясь постановлением администрации муниципального образования Отрадненский район от 25 марта 2026 года № 132 «Об утверждении Положения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Положением).</w:t>
      </w:r>
    </w:p>
    <w:p w14:paraId="6E000000">
      <w:pPr>
        <w:ind w:firstLine="709" w:left="0"/>
        <w:jc w:val="both"/>
        <w:rPr>
          <w:sz w:val="28"/>
        </w:rPr>
      </w:pPr>
      <w:r>
        <w:rPr>
          <w:sz w:val="28"/>
        </w:rPr>
        <w:t>1.2. Конкурсная документация действует на территории муниципального образования Отрадненский район и устанавливает порядок и условия организации и проведения открытых конкурсов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(далее - открытый конкурс).</w:t>
      </w:r>
    </w:p>
    <w:p w14:paraId="6F000000">
      <w:pPr>
        <w:pStyle w:val="Style_4"/>
        <w:numPr>
          <w:ilvl w:val="0"/>
          <w:numId w:val="0"/>
        </w:numPr>
        <w:ind/>
        <w:jc w:val="center"/>
      </w:pPr>
    </w:p>
    <w:p w14:paraId="70000000">
      <w:pPr>
        <w:pStyle w:val="Style_4"/>
        <w:numPr>
          <w:ilvl w:val="0"/>
          <w:numId w:val="0"/>
        </w:numPr>
        <w:ind/>
        <w:jc w:val="center"/>
      </w:pPr>
      <w:r>
        <w:t>2. Предмет, цель и объект открытого конкурса</w:t>
      </w:r>
    </w:p>
    <w:p w14:paraId="71000000">
      <w:pPr>
        <w:ind w:firstLine="851" w:left="0"/>
        <w:jc w:val="both"/>
        <w:rPr>
          <w:sz w:val="28"/>
        </w:rPr>
      </w:pPr>
    </w:p>
    <w:p w14:paraId="72000000">
      <w:pPr>
        <w:ind w:firstLine="851" w:left="0"/>
        <w:jc w:val="both"/>
        <w:rPr>
          <w:sz w:val="28"/>
        </w:rPr>
      </w:pPr>
      <w:r>
        <w:rPr>
          <w:sz w:val="28"/>
        </w:rPr>
        <w:t>2.1. Предметом открытого конкурса является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w:t>
      </w:r>
    </w:p>
    <w:p w14:paraId="73000000">
      <w:pPr>
        <w:ind w:firstLine="709" w:left="0"/>
        <w:jc w:val="both"/>
        <w:rPr>
          <w:sz w:val="28"/>
        </w:rPr>
      </w:pPr>
      <w:r>
        <w:rPr>
          <w:sz w:val="28"/>
        </w:rPr>
        <w:t>2.2. Конкурс на право осуществления перевозок по одному или нескольким муниципальным маршрутам регулярных перевозок проводится в целях выбора перевозчиков, обеспечивающих лучшие условия перевозки пассажиров и багажа, и является способом регулирования транспортного обслуживания для удовлетворения потребностей населения в безопасных и качественных перевозках.</w:t>
      </w:r>
    </w:p>
    <w:p w14:paraId="74000000">
      <w:pPr>
        <w:ind w:firstLine="851" w:left="0"/>
        <w:jc w:val="both"/>
        <w:rPr>
          <w:sz w:val="28"/>
        </w:rPr>
      </w:pPr>
      <w:r>
        <w:rPr>
          <w:sz w:val="28"/>
        </w:rPr>
        <w:t>2.3. Объектом открытого конкурса является лот, включающий в себя один или несколько муниципальных маршрутов регулярных перевозок.</w:t>
      </w:r>
    </w:p>
    <w:p w14:paraId="75000000">
      <w:pPr>
        <w:pStyle w:val="Style_4"/>
        <w:ind w:firstLine="851" w:left="0"/>
        <w:jc w:val="both"/>
      </w:pPr>
    </w:p>
    <w:p w14:paraId="76000000">
      <w:pPr>
        <w:pStyle w:val="Style_4"/>
        <w:numPr>
          <w:ilvl w:val="0"/>
          <w:numId w:val="0"/>
        </w:numPr>
        <w:ind/>
        <w:jc w:val="center"/>
      </w:pPr>
      <w:r>
        <w:t>3. Основные характеристики и сведения о предмете открытого конкурса</w:t>
      </w:r>
    </w:p>
    <w:p w14:paraId="77000000">
      <w:pPr>
        <w:ind w:firstLine="709" w:left="0"/>
        <w:jc w:val="both"/>
        <w:rPr>
          <w:sz w:val="28"/>
        </w:rPr>
      </w:pPr>
    </w:p>
    <w:p w14:paraId="78000000">
      <w:pPr>
        <w:ind w:firstLine="709" w:left="0"/>
        <w:jc w:val="both"/>
        <w:rPr>
          <w:sz w:val="28"/>
        </w:rPr>
      </w:pPr>
      <w:r>
        <w:rPr>
          <w:sz w:val="28"/>
        </w:rPr>
        <w:t xml:space="preserve">3.1. Основные характеристики и сведения о предмете открытого конкурса формируются организатором открытого конкурса и определены </w:t>
      </w:r>
      <w:r>
        <w:rPr>
          <w:rStyle w:val="Style_6_ch"/>
          <w:b w:val="0"/>
          <w:color w:val="000000"/>
          <w:sz w:val="28"/>
        </w:rPr>
        <w:t>приложением № 1</w:t>
      </w:r>
      <w:r>
        <w:rPr>
          <w:sz w:val="28"/>
        </w:rPr>
        <w:t xml:space="preserve"> к конкурсной документации и включают следующие требования к транспортным средствам, используемым для оказания транспортных услуг, а также показатели, связанные с определением соответствия оказываемых услуг потребностям населения в регулярных пассажирских перевозках:</w:t>
      </w:r>
    </w:p>
    <w:p w14:paraId="79000000">
      <w:pPr>
        <w:ind w:firstLine="709" w:left="0"/>
        <w:jc w:val="both"/>
        <w:rPr>
          <w:sz w:val="28"/>
        </w:rPr>
      </w:pPr>
      <w:r>
        <w:rPr>
          <w:sz w:val="28"/>
        </w:rPr>
        <w:t>1) номер лота;</w:t>
      </w:r>
    </w:p>
    <w:p w14:paraId="7A000000">
      <w:pPr>
        <w:ind w:firstLine="709" w:left="0"/>
        <w:jc w:val="both"/>
        <w:rPr>
          <w:sz w:val="28"/>
        </w:rPr>
      </w:pPr>
      <w:r>
        <w:rPr>
          <w:sz w:val="28"/>
        </w:rPr>
        <w:t>2) номер в реестре (номер маршрута);</w:t>
      </w:r>
    </w:p>
    <w:p w14:paraId="7B000000">
      <w:pPr>
        <w:ind w:firstLine="709" w:left="0"/>
        <w:jc w:val="both"/>
        <w:rPr>
          <w:sz w:val="28"/>
        </w:rPr>
      </w:pPr>
      <w:r>
        <w:rPr>
          <w:sz w:val="28"/>
        </w:rPr>
        <w:t>3) наименование маршрута;</w:t>
      </w:r>
    </w:p>
    <w:p w14:paraId="7C000000">
      <w:pPr>
        <w:ind w:firstLine="709" w:left="0"/>
        <w:jc w:val="both"/>
        <w:rPr>
          <w:sz w:val="28"/>
        </w:rPr>
      </w:pPr>
      <w:r>
        <w:rPr>
          <w:sz w:val="28"/>
        </w:rPr>
        <w:t>4) предусмотренное расписанием количество рейсов в день;</w:t>
      </w:r>
    </w:p>
    <w:p w14:paraId="7D000000">
      <w:pPr>
        <w:ind w:firstLine="709" w:left="0"/>
        <w:jc w:val="both"/>
        <w:rPr>
          <w:sz w:val="28"/>
        </w:rPr>
      </w:pPr>
      <w:r>
        <w:rPr>
          <w:sz w:val="28"/>
        </w:rPr>
        <w:t>5) сезонность;</w:t>
      </w:r>
    </w:p>
    <w:p w14:paraId="7E000000">
      <w:pPr>
        <w:ind w:firstLine="709" w:left="0"/>
        <w:jc w:val="both"/>
        <w:rPr>
          <w:sz w:val="28"/>
        </w:rPr>
      </w:pPr>
      <w:r>
        <w:rPr>
          <w:sz w:val="28"/>
        </w:rPr>
        <w:t>6) промежуточные остановочные пункты;</w:t>
      </w:r>
    </w:p>
    <w:p w14:paraId="7F000000">
      <w:pPr>
        <w:ind w:firstLine="709" w:left="0"/>
        <w:jc w:val="both"/>
        <w:rPr>
          <w:sz w:val="28"/>
        </w:rPr>
      </w:pPr>
      <w:r>
        <w:rPr>
          <w:sz w:val="28"/>
        </w:rPr>
        <w:t>7) улицы, автомобильные дороги, по которым проходит маршрут;</w:t>
      </w:r>
    </w:p>
    <w:p w14:paraId="80000000">
      <w:pPr>
        <w:ind w:firstLine="709" w:left="0"/>
        <w:jc w:val="both"/>
        <w:rPr>
          <w:sz w:val="28"/>
        </w:rPr>
      </w:pPr>
      <w:r>
        <w:rPr>
          <w:sz w:val="28"/>
        </w:rPr>
        <w:t>8) протяженность маршрута общая, км;</w:t>
      </w:r>
    </w:p>
    <w:p w14:paraId="81000000">
      <w:pPr>
        <w:ind w:firstLine="709" w:left="0"/>
        <w:jc w:val="both"/>
        <w:rPr>
          <w:sz w:val="28"/>
        </w:rPr>
      </w:pPr>
      <w:r>
        <w:rPr>
          <w:sz w:val="28"/>
        </w:rPr>
        <w:t>9) порядок посадки/высадки пассажиров;</w:t>
      </w:r>
    </w:p>
    <w:p w14:paraId="82000000">
      <w:pPr>
        <w:ind w:firstLine="709" w:left="0"/>
        <w:jc w:val="both"/>
        <w:rPr>
          <w:sz w:val="28"/>
        </w:rPr>
      </w:pPr>
      <w:r>
        <w:rPr>
          <w:sz w:val="28"/>
        </w:rPr>
        <w:t>10) вид и класс транспортного средства (максимальное количество транспортных средств);</w:t>
      </w:r>
    </w:p>
    <w:p w14:paraId="83000000">
      <w:pPr>
        <w:ind w:firstLine="709" w:left="0"/>
        <w:jc w:val="both"/>
        <w:rPr>
          <w:sz w:val="28"/>
        </w:rPr>
      </w:pPr>
      <w:r>
        <w:rPr>
          <w:sz w:val="28"/>
        </w:rPr>
        <w:t>11) экологические характеристики транспортного средства.</w:t>
      </w:r>
    </w:p>
    <w:p w14:paraId="84000000">
      <w:pPr>
        <w:ind w:firstLine="709" w:left="0"/>
        <w:jc w:val="both"/>
        <w:rPr>
          <w:sz w:val="28"/>
        </w:rPr>
      </w:pPr>
      <w:r>
        <w:rPr>
          <w:sz w:val="28"/>
        </w:rPr>
        <w:t>3.2. Для осуществления регулярных перевозок используются транспортные средства, зарегистрированные в органах Государственной инспекции безопасности дорожного движения Министерства внутренних дел Российской Федерации и прошедшие в установленном порядке государственный технический осмотр.</w:t>
      </w:r>
    </w:p>
    <w:p w14:paraId="85000000">
      <w:pPr>
        <w:ind w:firstLine="709" w:left="0"/>
        <w:jc w:val="both"/>
        <w:rPr>
          <w:sz w:val="28"/>
        </w:rPr>
      </w:pPr>
      <w:r>
        <w:rPr>
          <w:sz w:val="28"/>
        </w:rPr>
        <w:t>3.3. Оборудование, внутреннее и внешнее оформление транспортных средств, предназначенных для регулярных перевозок, должны соответствовать установленным федеральным законодательством требованиям, в том числе к средствам навигации и к обеспечению условий доступности пассажиров из числа инвалидов, а также обеспечивать информирование пассажиров об условиях и виде регулярных перевозок.</w:t>
      </w:r>
    </w:p>
    <w:p w14:paraId="86000000">
      <w:pPr>
        <w:ind w:firstLine="709" w:left="0"/>
        <w:jc w:val="both"/>
        <w:rPr>
          <w:sz w:val="28"/>
        </w:rPr>
      </w:pPr>
      <w:r>
        <w:rPr>
          <w:sz w:val="28"/>
        </w:rPr>
        <w:t>3.4. У транспортных средств, предназначенных для регулярных перевозок по муниципальным маршрутам регулярных перевозок должен быть электрический двигатель либо двигатель внутреннего сгорания не ниже второго экологического класса, с 1 марта 2026 года - не ниже третьего экологического класса, а с 1 марта 2027 года - не ниже четвертого экологического класса.</w:t>
      </w:r>
    </w:p>
    <w:p w14:paraId="87000000">
      <w:pPr>
        <w:ind w:firstLine="709" w:left="0"/>
        <w:jc w:val="both"/>
        <w:rPr>
          <w:sz w:val="28"/>
        </w:rPr>
      </w:pPr>
      <w:r>
        <w:rPr>
          <w:sz w:val="28"/>
        </w:rPr>
        <w:t>3.5. Иные требования к транспортным средствам, используемым для регулярных перевозок, установлены действующим федеральным и краевым законодательством.</w:t>
      </w:r>
    </w:p>
    <w:p w14:paraId="88000000">
      <w:pPr>
        <w:ind w:firstLine="709" w:left="0"/>
        <w:jc w:val="both"/>
        <w:rPr>
          <w:sz w:val="28"/>
        </w:rPr>
      </w:pPr>
    </w:p>
    <w:p w14:paraId="89000000">
      <w:pPr>
        <w:pStyle w:val="Style_4"/>
        <w:numPr>
          <w:ilvl w:val="0"/>
          <w:numId w:val="0"/>
        </w:numPr>
        <w:ind/>
        <w:jc w:val="center"/>
      </w:pPr>
      <w:r>
        <w:t>4. Условия допуска к участию в Открытом конкурсе</w:t>
      </w:r>
    </w:p>
    <w:p w14:paraId="8A000000">
      <w:pPr>
        <w:ind w:firstLine="851" w:left="0"/>
        <w:jc w:val="both"/>
        <w:rPr>
          <w:sz w:val="28"/>
        </w:rPr>
      </w:pPr>
    </w:p>
    <w:p w14:paraId="8B000000">
      <w:pPr>
        <w:ind w:firstLine="709" w:left="0"/>
        <w:jc w:val="both"/>
        <w:rPr>
          <w:sz w:val="28"/>
        </w:rPr>
      </w:pPr>
      <w:r>
        <w:rPr>
          <w:sz w:val="28"/>
        </w:rPr>
        <w:t xml:space="preserve">4.1. В Открытом конкурсе могут участвовать как отдельный перевозчик, так и группа перевозчиков, объединившихся в форме предусмотренной </w:t>
      </w:r>
      <w:r>
        <w:rPr>
          <w:rStyle w:val="Style_6_ch"/>
          <w:b w:val="0"/>
          <w:color w:val="000000"/>
          <w:sz w:val="28"/>
        </w:rPr>
        <w:fldChar w:fldCharType="begin"/>
      </w:r>
      <w:r>
        <w:rPr>
          <w:rStyle w:val="Style_6_ch"/>
          <w:b w:val="0"/>
          <w:color w:val="000000"/>
          <w:sz w:val="28"/>
        </w:rPr>
        <w:instrText>HYPERLINK "garantF1://10064072.0"</w:instrText>
      </w:r>
      <w:r>
        <w:rPr>
          <w:rStyle w:val="Style_6_ch"/>
          <w:b w:val="0"/>
          <w:color w:val="000000"/>
          <w:sz w:val="28"/>
        </w:rPr>
        <w:fldChar w:fldCharType="separate"/>
      </w:r>
      <w:r>
        <w:rPr>
          <w:rStyle w:val="Style_6_ch"/>
          <w:b w:val="0"/>
          <w:color w:val="000000"/>
          <w:sz w:val="28"/>
        </w:rPr>
        <w:t>гражданским законодательством</w:t>
      </w:r>
      <w:r>
        <w:rPr>
          <w:rStyle w:val="Style_6_ch"/>
          <w:b w:val="0"/>
          <w:color w:val="000000"/>
          <w:sz w:val="28"/>
        </w:rPr>
        <w:fldChar w:fldCharType="end"/>
      </w:r>
      <w:r>
        <w:rPr>
          <w:sz w:val="28"/>
        </w:rPr>
        <w:t xml:space="preserve"> для совместного выполнения пассажирских перевозок на маршруте регулярных перевозок, соответствующие следующим требованиям, предъявляемым к участникам открытого конкурса:</w:t>
      </w:r>
    </w:p>
    <w:p w14:paraId="8C000000">
      <w:pPr>
        <w:ind w:firstLine="709" w:left="0"/>
        <w:jc w:val="both"/>
        <w:rPr>
          <w:sz w:val="28"/>
        </w:rPr>
      </w:pPr>
      <w:r>
        <w:rPr>
          <w:sz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8D000000">
      <w:pPr>
        <w:ind w:firstLine="709" w:left="0"/>
        <w:jc w:val="both"/>
        <w:rPr>
          <w:sz w:val="28"/>
        </w:rPr>
      </w:pPr>
      <w:r>
        <w:rPr>
          <w:sz w:val="28"/>
        </w:rPr>
        <w:t>2) принятие на себя обязательства в случае предоставления участнику открытого конкурса права осуществления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8E000000">
      <w:pPr>
        <w:ind w:firstLine="709" w:left="0"/>
        <w:jc w:val="both"/>
        <w:rPr>
          <w:sz w:val="28"/>
        </w:rPr>
      </w:pPr>
      <w:r>
        <w:rPr>
          <w:sz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8F000000">
      <w:pPr>
        <w:ind w:firstLine="709" w:left="0"/>
        <w:jc w:val="both"/>
        <w:rPr>
          <w:sz w:val="28"/>
        </w:rPr>
      </w:pPr>
      <w:r>
        <w:rPr>
          <w:sz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14:paraId="90000000">
      <w:pPr>
        <w:ind w:firstLine="709" w:left="0"/>
        <w:jc w:val="both"/>
        <w:rPr>
          <w:sz w:val="28"/>
        </w:rPr>
      </w:pPr>
      <w:r>
        <w:rPr>
          <w:sz w:val="28"/>
        </w:rPr>
        <w:t>5) наличие договора простого товарищества в письменной форме (для участников договора простого товарищества);</w:t>
      </w:r>
    </w:p>
    <w:p w14:paraId="91000000">
      <w:pPr>
        <w:ind w:firstLine="709" w:left="0"/>
        <w:jc w:val="both"/>
        <w:rPr>
          <w:sz w:val="28"/>
        </w:rPr>
      </w:pPr>
      <w:r>
        <w:rPr>
          <w:sz w:val="28"/>
        </w:rPr>
        <w:t>6) отсутствие в отношении юридического лица, индивидуального предпринимателя, участника договора простого товарищества обстоятельств, влекущих прекращение действия выданных свидетельств об осуществлении перевозок по маршруту регулярных перевозок по следующим основаниям:</w:t>
      </w:r>
    </w:p>
    <w:p w14:paraId="92000000">
      <w:pPr>
        <w:ind w:firstLine="709" w:left="0"/>
        <w:jc w:val="both"/>
        <w:rPr>
          <w:sz w:val="28"/>
        </w:rPr>
      </w:pPr>
      <w:r>
        <w:rPr>
          <w:sz w:val="28"/>
        </w:rPr>
        <w:t>- вступление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статьи 29 Федерального закона № 220-ФЗ;</w:t>
      </w:r>
    </w:p>
    <w:p w14:paraId="93000000">
      <w:pPr>
        <w:ind w:firstLine="709" w:left="0"/>
        <w:jc w:val="both"/>
        <w:rPr>
          <w:sz w:val="28"/>
        </w:rPr>
      </w:pPr>
      <w:r>
        <w:rPr>
          <w:sz w:val="28"/>
        </w:rPr>
        <w:t>-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права осуществления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течение более чем трех дней подряд предусматривается осуществление перевозок менее чем в течение трех дней в календарную неделю;</w:t>
      </w:r>
    </w:p>
    <w:p w14:paraId="94000000">
      <w:pPr>
        <w:ind w:firstLine="709" w:left="0"/>
        <w:jc w:val="both"/>
        <w:rPr>
          <w:sz w:val="28"/>
        </w:rPr>
      </w:pPr>
      <w:r>
        <w:rPr>
          <w:sz w:val="28"/>
        </w:rPr>
        <w:t>-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14:paraId="95000000">
      <w:pPr>
        <w:ind w:firstLine="709" w:left="0"/>
        <w:jc w:val="both"/>
        <w:rPr>
          <w:sz w:val="28"/>
        </w:rPr>
      </w:pPr>
      <w:r>
        <w:rPr>
          <w:sz w:val="28"/>
        </w:rPr>
        <w:t>В случае, если действие свидетельства об осуществлении перевозок по маршруту регулярных перевозок прекращено по указанным обстоятельствам, юридическое лицо, индивидуальный предприниматель, участники договора простого товарищества, которым было выдано свидетельство, утрачивают право в течение одного года со дня прекращения его действия участвовать в конкурсах.</w:t>
      </w:r>
    </w:p>
    <w:p w14:paraId="96000000">
      <w:pPr>
        <w:ind w:firstLine="709" w:left="0"/>
        <w:jc w:val="both"/>
        <w:rPr>
          <w:sz w:val="28"/>
        </w:rPr>
      </w:pPr>
      <w:r>
        <w:rPr>
          <w:sz w:val="28"/>
        </w:rPr>
        <w:t xml:space="preserve">Требования, предусмотренные </w:t>
      </w:r>
      <w:r>
        <w:rPr>
          <w:rStyle w:val="Style_6_ch"/>
          <w:b w:val="0"/>
          <w:color w:val="000000"/>
          <w:sz w:val="28"/>
        </w:rPr>
        <w:t>подпунктами 1</w:t>
      </w:r>
      <w:r>
        <w:rPr>
          <w:sz w:val="28"/>
        </w:rPr>
        <w:t xml:space="preserve">, </w:t>
      </w:r>
      <w:r>
        <w:rPr>
          <w:rStyle w:val="Style_6_ch"/>
          <w:b w:val="0"/>
          <w:color w:val="000000"/>
          <w:sz w:val="28"/>
        </w:rPr>
        <w:t>3</w:t>
      </w:r>
      <w:r>
        <w:rPr>
          <w:sz w:val="28"/>
        </w:rPr>
        <w:t xml:space="preserve"> и </w:t>
      </w:r>
      <w:r>
        <w:rPr>
          <w:rStyle w:val="Style_6_ch"/>
          <w:b w:val="0"/>
          <w:color w:val="000000"/>
          <w:sz w:val="28"/>
        </w:rPr>
        <w:t>4</w:t>
      </w:r>
      <w:r>
        <w:rPr>
          <w:sz w:val="28"/>
        </w:rPr>
        <w:t xml:space="preserve"> настоящего пункта применяются в отношении каждого участника договора простого товарищества.</w:t>
      </w:r>
    </w:p>
    <w:p w14:paraId="97000000">
      <w:pPr>
        <w:ind w:firstLine="709" w:left="0"/>
        <w:jc w:val="both"/>
        <w:rPr>
          <w:sz w:val="28"/>
        </w:rPr>
      </w:pPr>
      <w:r>
        <w:rPr>
          <w:sz w:val="28"/>
        </w:rPr>
        <w:t xml:space="preserve">4.2. Основаниями для отказа в допуске к Открытому конкурсу являются несоответствие требованиям, предъявляемым к участникам открытого конкурса, установленным </w:t>
      </w:r>
      <w:r>
        <w:rPr>
          <w:rStyle w:val="Style_6_ch"/>
          <w:b w:val="0"/>
          <w:color w:val="000000"/>
          <w:sz w:val="28"/>
        </w:rPr>
        <w:t>пунктом 4.1</w:t>
      </w:r>
      <w:r>
        <w:rPr>
          <w:sz w:val="28"/>
        </w:rPr>
        <w:t xml:space="preserve"> конкурсной документации.</w:t>
      </w:r>
    </w:p>
    <w:p w14:paraId="98000000">
      <w:pPr>
        <w:pStyle w:val="Style_4"/>
        <w:numPr>
          <w:ilvl w:val="0"/>
          <w:numId w:val="0"/>
        </w:numPr>
        <w:ind/>
        <w:jc w:val="both"/>
      </w:pPr>
    </w:p>
    <w:p w14:paraId="99000000">
      <w:pPr>
        <w:pStyle w:val="Style_4"/>
        <w:numPr>
          <w:ilvl w:val="0"/>
          <w:numId w:val="0"/>
        </w:numPr>
        <w:ind/>
        <w:jc w:val="center"/>
      </w:pPr>
      <w:r>
        <w:t>5. Извещение о проведении открытого конкурса</w:t>
      </w:r>
    </w:p>
    <w:p w14:paraId="9A000000">
      <w:pPr>
        <w:ind w:firstLine="851" w:left="0"/>
        <w:jc w:val="both"/>
        <w:rPr>
          <w:sz w:val="28"/>
        </w:rPr>
      </w:pPr>
    </w:p>
    <w:p w14:paraId="9B000000">
      <w:pPr>
        <w:ind w:firstLine="709" w:left="0"/>
        <w:jc w:val="both"/>
        <w:rPr>
          <w:sz w:val="28"/>
        </w:rPr>
      </w:pPr>
      <w:r>
        <w:rPr>
          <w:sz w:val="28"/>
        </w:rPr>
        <w:t>5.1. Извещение о проведении открытого конкурса размещается на информационном портале организатора открытого конкурса не менее чем за тридцать календарных дней до дня проведения процедуры вскрытия конвертов с заявками на участие в открытом конкурсе.</w:t>
      </w:r>
    </w:p>
    <w:p w14:paraId="9C000000">
      <w:pPr>
        <w:ind w:firstLine="709" w:left="0"/>
        <w:jc w:val="both"/>
        <w:rPr>
          <w:sz w:val="28"/>
        </w:rPr>
      </w:pPr>
      <w:r>
        <w:rPr>
          <w:sz w:val="28"/>
        </w:rPr>
        <w:t>5.2. Извещение должно содержать следующую информацию:</w:t>
      </w:r>
    </w:p>
    <w:p w14:paraId="9D000000">
      <w:pPr>
        <w:ind w:firstLine="709" w:left="0"/>
        <w:jc w:val="both"/>
        <w:rPr>
          <w:sz w:val="28"/>
        </w:rPr>
      </w:pPr>
      <w:r>
        <w:rPr>
          <w:sz w:val="28"/>
        </w:rPr>
        <w:t>1) наименование, место нахождения, почтовый адрес и адрес электронной почты, номер контактного телефона организатора открытого конкурса;</w:t>
      </w:r>
    </w:p>
    <w:p w14:paraId="9E000000">
      <w:pPr>
        <w:ind w:firstLine="709" w:left="0"/>
        <w:jc w:val="both"/>
        <w:rPr>
          <w:sz w:val="28"/>
        </w:rPr>
      </w:pPr>
      <w:r>
        <w:rPr>
          <w:sz w:val="28"/>
        </w:rPr>
        <w:t>2) предмет открытого конкурса;</w:t>
      </w:r>
    </w:p>
    <w:p w14:paraId="9F000000">
      <w:pPr>
        <w:ind w:firstLine="709" w:left="0"/>
        <w:jc w:val="both"/>
        <w:rPr>
          <w:sz w:val="28"/>
        </w:rPr>
      </w:pPr>
      <w:r>
        <w:rPr>
          <w:sz w:val="28"/>
        </w:rPr>
        <w:t>3) срок, место и порядок предоставления Конкурсной документации, информационный портал, на котором размещена Конкурсная документация;</w:t>
      </w:r>
    </w:p>
    <w:p w14:paraId="A0000000">
      <w:pPr>
        <w:ind w:firstLine="709" w:left="0"/>
        <w:jc w:val="both"/>
        <w:rPr>
          <w:sz w:val="28"/>
        </w:rPr>
      </w:pPr>
      <w:r>
        <w:rPr>
          <w:sz w:val="28"/>
        </w:rPr>
        <w:t>4) размер, порядок и сроки внесения платы за предоставление Конкурсной документации на бумажном носителе;</w:t>
      </w:r>
    </w:p>
    <w:p w14:paraId="A1000000">
      <w:pPr>
        <w:ind w:firstLine="709" w:left="0"/>
        <w:jc w:val="both"/>
        <w:rPr>
          <w:sz w:val="28"/>
        </w:rPr>
      </w:pPr>
      <w:r>
        <w:rPr>
          <w:sz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14:paraId="A2000000">
      <w:pPr>
        <w:ind w:firstLine="709" w:left="0"/>
        <w:jc w:val="both"/>
        <w:rPr>
          <w:sz w:val="28"/>
        </w:rPr>
      </w:pPr>
      <w:r>
        <w:rPr>
          <w:sz w:val="28"/>
        </w:rPr>
        <w:t>5.3. Организатор открытого конкурса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пяти рабочих дней со дня принятия указанного решения такие изменения размещаются на информационном портале организатора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календарных дней.</w:t>
      </w:r>
    </w:p>
    <w:p w14:paraId="A3000000">
      <w:pPr>
        <w:ind w:firstLine="709" w:left="0"/>
        <w:jc w:val="both"/>
        <w:rPr>
          <w:sz w:val="28"/>
        </w:rPr>
      </w:pPr>
    </w:p>
    <w:p w14:paraId="A4000000">
      <w:pPr>
        <w:pStyle w:val="Style_4"/>
        <w:numPr>
          <w:ilvl w:val="0"/>
          <w:numId w:val="0"/>
        </w:numPr>
        <w:ind/>
        <w:jc w:val="center"/>
      </w:pPr>
      <w:r>
        <w:t>6. Форма и содержание заявки на участие в открытом конкурсе</w:t>
      </w:r>
    </w:p>
    <w:p w14:paraId="A5000000">
      <w:pPr>
        <w:ind w:firstLine="709" w:left="0"/>
        <w:rPr>
          <w:sz w:val="28"/>
        </w:rPr>
      </w:pPr>
    </w:p>
    <w:p w14:paraId="A6000000">
      <w:pPr>
        <w:ind w:firstLine="709" w:left="0"/>
        <w:jc w:val="both"/>
        <w:rPr>
          <w:sz w:val="28"/>
        </w:rPr>
      </w:pPr>
      <w:r>
        <w:rPr>
          <w:sz w:val="28"/>
        </w:rPr>
        <w:t>6.1. Заявка на участие в открытом конкурсе заполняется перевозчиком в соответствии с требованиями к оформлению заявки на участие в открытом конкурсе на территории муниципального образования Отрадненский район (приложение 4 к Положению).</w:t>
      </w:r>
    </w:p>
    <w:p w14:paraId="A7000000">
      <w:pPr>
        <w:ind w:firstLine="709" w:left="0"/>
        <w:jc w:val="both"/>
        <w:rPr>
          <w:sz w:val="28"/>
        </w:rPr>
      </w:pPr>
      <w:r>
        <w:rPr>
          <w:sz w:val="28"/>
        </w:rPr>
        <w:t>6.2. Заявка на участие в открытом конкурсе включает в себя:</w:t>
      </w:r>
    </w:p>
    <w:p w14:paraId="A8000000">
      <w:pPr>
        <w:ind w:firstLine="709" w:left="0"/>
        <w:jc w:val="both"/>
        <w:rPr>
          <w:sz w:val="28"/>
        </w:rPr>
      </w:pPr>
      <w:r>
        <w:rPr>
          <w:sz w:val="28"/>
        </w:rPr>
        <w:t>1) форму заявки на участие в открытом конкурсе (приложение 4 к Положению);</w:t>
      </w:r>
    </w:p>
    <w:p w14:paraId="A9000000">
      <w:pPr>
        <w:ind w:firstLine="709" w:left="0"/>
        <w:jc w:val="both"/>
        <w:rPr>
          <w:sz w:val="28"/>
        </w:rPr>
      </w:pPr>
      <w:r>
        <w:rPr>
          <w:sz w:val="28"/>
        </w:rPr>
        <w:t>2) форму заявления о регистрации заявки на участие в открытом конкурсе (приложение 1 к заявке на участие в открытом конкурсе);</w:t>
      </w:r>
    </w:p>
    <w:p w14:paraId="AA000000">
      <w:pPr>
        <w:ind w:firstLine="709" w:left="0"/>
        <w:jc w:val="both"/>
        <w:rPr>
          <w:sz w:val="28"/>
        </w:rPr>
      </w:pPr>
      <w:r>
        <w:rPr>
          <w:sz w:val="28"/>
        </w:rPr>
        <w:t>3) форму описи документов, представляемых для участия в открытом конкурсе (приложение 2 к заявке на участие в Открытом конкурсе);</w:t>
      </w:r>
    </w:p>
    <w:p w14:paraId="AB000000">
      <w:pPr>
        <w:ind w:firstLine="709" w:left="0"/>
        <w:jc w:val="both"/>
        <w:rPr>
          <w:sz w:val="28"/>
        </w:rPr>
      </w:pPr>
      <w:r>
        <w:rPr>
          <w:sz w:val="28"/>
        </w:rPr>
        <w:t>4) форму сводной информации о транспортных средствах, заявленных для участия в Открытом конкурсе (приложение 3 к заявке на участие в открытом конкурсе);</w:t>
      </w:r>
    </w:p>
    <w:p w14:paraId="AC000000">
      <w:pPr>
        <w:ind w:firstLine="709" w:left="0"/>
        <w:jc w:val="both"/>
        <w:rPr>
          <w:sz w:val="28"/>
        </w:rPr>
      </w:pPr>
      <w:r>
        <w:rPr>
          <w:sz w:val="28"/>
        </w:rPr>
        <w:t>5) оригинал принятого на себя обязательства, предусмотренного подпунктом 6.1.2 главы 6 Положения;</w:t>
      </w:r>
    </w:p>
    <w:p w14:paraId="AD000000">
      <w:pPr>
        <w:ind w:firstLine="709" w:left="0"/>
        <w:jc w:val="both"/>
        <w:rPr>
          <w:sz w:val="28"/>
        </w:rPr>
      </w:pPr>
      <w:r>
        <w:rPr>
          <w:sz w:val="28"/>
        </w:rPr>
        <w:t>6) справка о непроведении ликвидации перевозчика, составленная в произвольной форме перевозчиком. Документы, предусмотренные настоящим подпунктом, прилагаются в отношении каждого участника договора простого товарищества;</w:t>
      </w:r>
    </w:p>
    <w:p w14:paraId="AE000000">
      <w:pPr>
        <w:ind w:firstLine="709" w:left="0"/>
        <w:jc w:val="both"/>
        <w:rPr>
          <w:sz w:val="28"/>
        </w:rPr>
      </w:pPr>
      <w:r>
        <w:rPr>
          <w:sz w:val="28"/>
        </w:rPr>
        <w:t>7) копия договора простого товарищества (для участников договора простого товарищества);</w:t>
      </w:r>
    </w:p>
    <w:p w14:paraId="AF000000">
      <w:pPr>
        <w:ind w:firstLine="709" w:left="0"/>
        <w:jc w:val="both"/>
        <w:rPr>
          <w:sz w:val="28"/>
        </w:rPr>
      </w:pPr>
      <w:r>
        <w:rPr>
          <w:sz w:val="28"/>
        </w:rPr>
        <w:t>8) копии документов, подтверждающих наличие у перевозчика опыта осуществления регулярных перевозок (подтверждение исполнения государственных или муниципальных контрактов, либо свидетельства об осуществлении перевозок по маршруту регулярных перевозок или иные документы, выданные в соответствии с нормативными правовыми актами Российской Федерации и Краснодарского края) (при наличии);</w:t>
      </w:r>
    </w:p>
    <w:p w14:paraId="B0000000">
      <w:pPr>
        <w:ind w:firstLine="709" w:left="0"/>
        <w:jc w:val="both"/>
        <w:rPr>
          <w:sz w:val="28"/>
        </w:rPr>
      </w:pPr>
      <w:r>
        <w:rPr>
          <w:sz w:val="28"/>
        </w:rPr>
        <w:t>9) документ, подтверждающий полномочия лица на осуществление действий от имени перевозчика (доверенность), в случае представления интересов доверителя доверенным лицом.</w:t>
      </w:r>
    </w:p>
    <w:p w14:paraId="B1000000">
      <w:pPr>
        <w:ind w:firstLine="709" w:left="0"/>
        <w:jc w:val="both"/>
        <w:rPr>
          <w:sz w:val="28"/>
        </w:rPr>
      </w:pPr>
      <w:r>
        <w:rPr>
          <w:sz w:val="28"/>
        </w:rPr>
        <w:t>6.3. Заявка на участие в открытом конкурсе должна, в том числе, содержать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получение права осуществления перевозок автомобильным транспортом по одному или нескольким муниципальным маршрутам регулярного сообщения на территории муниципального образования Отрадненский район (при наличии).</w:t>
      </w:r>
    </w:p>
    <w:p w14:paraId="B2000000">
      <w:pPr>
        <w:ind w:firstLine="709" w:left="0"/>
        <w:jc w:val="both"/>
        <w:rPr>
          <w:sz w:val="28"/>
        </w:rPr>
      </w:pPr>
      <w:r>
        <w:rPr>
          <w:sz w:val="28"/>
        </w:rPr>
        <w:t>6.4. Участник открытого конкурса вправе по собственной инициативе предоставить организатору открытого конкурса следующие документы (или их заверенные копии):</w:t>
      </w:r>
    </w:p>
    <w:p w14:paraId="B3000000">
      <w:pPr>
        <w:ind w:firstLine="709" w:left="0"/>
        <w:jc w:val="both"/>
        <w:rPr>
          <w:sz w:val="28"/>
        </w:rPr>
      </w:pPr>
      <w:r>
        <w:rPr>
          <w:sz w:val="28"/>
        </w:rPr>
        <w:t>справку об исполнении налогоплательщиком (плательщиком сбора, налоговым агентом) обязанности по уплате налогов, сборов, пеней, штрафов, процентов за последний завершенный отчетный период, выданную Федеральной налоговой службой России;</w:t>
      </w:r>
    </w:p>
    <w:p w14:paraId="B4000000">
      <w:pPr>
        <w:ind w:firstLine="709" w:left="0"/>
        <w:jc w:val="both"/>
        <w:rPr>
          <w:sz w:val="28"/>
        </w:rPr>
      </w:pPr>
      <w:r>
        <w:rPr>
          <w:sz w:val="28"/>
        </w:rPr>
        <w:t>лицензию на осуществление перевозки пассажиров автомобильным транспортом, оборудованным для перевозок более восьми человек;</w:t>
      </w:r>
    </w:p>
    <w:p w14:paraId="B5000000">
      <w:pPr>
        <w:ind w:firstLine="709" w:left="0"/>
        <w:jc w:val="both"/>
        <w:rPr>
          <w:sz w:val="28"/>
        </w:rPr>
      </w:pPr>
      <w:r>
        <w:rPr>
          <w:sz w:val="28"/>
        </w:rPr>
        <w:t>справку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 (или) его работников в течение года предшествующего дате размещения извещения о проведении открытого конкурса, выданную Государственной инспекцией безопасности дорожного движения министерства внутренних дел Российской Федерации.</w:t>
      </w:r>
    </w:p>
    <w:p w14:paraId="B6000000">
      <w:pPr>
        <w:ind w:firstLine="709" w:left="0"/>
        <w:jc w:val="both"/>
        <w:rPr>
          <w:sz w:val="28"/>
        </w:rPr>
      </w:pPr>
      <w:r>
        <w:rPr>
          <w:sz w:val="28"/>
        </w:rPr>
        <w:t>Документы, предусмотренные настоящим пунктом, прилагаются в отношении каждого участника договора простого товарищества.</w:t>
      </w:r>
    </w:p>
    <w:p w14:paraId="B7000000">
      <w:pPr>
        <w:ind w:firstLine="709" w:left="0"/>
        <w:jc w:val="both"/>
        <w:rPr>
          <w:sz w:val="28"/>
        </w:rPr>
      </w:pPr>
      <w:r>
        <w:rPr>
          <w:sz w:val="28"/>
        </w:rPr>
        <w:t>В случае непредоставления участниками открытого конкурса документов, предусмотренных настоящим пунктом, организатор открытого конкурса самостоятельно запрашивает их в соответствующих государственных органах.</w:t>
      </w:r>
    </w:p>
    <w:p w14:paraId="B8000000">
      <w:pPr>
        <w:ind w:firstLine="709" w:left="0"/>
        <w:jc w:val="both"/>
        <w:rPr>
          <w:sz w:val="28"/>
        </w:rPr>
      </w:pPr>
      <w:r>
        <w:rPr>
          <w:sz w:val="28"/>
        </w:rPr>
        <w:t>6.5. Вид, класс и количество транспортных средств, указанных в заявке участника открытого конкурса, должны соответствовать основным характеристикам и сведениям о предмете открытого конкурса, указанным в приложении № 1 к Конкурсной документации.</w:t>
      </w:r>
    </w:p>
    <w:p w14:paraId="B9000000">
      <w:pPr>
        <w:pStyle w:val="Style_4"/>
        <w:numPr>
          <w:ilvl w:val="0"/>
          <w:numId w:val="0"/>
        </w:numPr>
        <w:ind/>
        <w:jc w:val="center"/>
      </w:pPr>
    </w:p>
    <w:p w14:paraId="BA000000">
      <w:pPr>
        <w:pStyle w:val="Style_4"/>
        <w:numPr>
          <w:ilvl w:val="0"/>
          <w:numId w:val="0"/>
        </w:numPr>
        <w:ind/>
        <w:jc w:val="center"/>
      </w:pPr>
      <w:r>
        <w:t xml:space="preserve">7. Порядок, место, дата начала и дата окончания срока подачи заявок </w:t>
      </w:r>
    </w:p>
    <w:p w14:paraId="BB000000">
      <w:pPr>
        <w:pStyle w:val="Style_4"/>
        <w:numPr>
          <w:ilvl w:val="0"/>
          <w:numId w:val="0"/>
        </w:numPr>
        <w:ind/>
        <w:jc w:val="center"/>
      </w:pPr>
      <w:r>
        <w:t xml:space="preserve">на участие в открытом конкурсе, место, дата и время предоставления </w:t>
      </w:r>
    </w:p>
    <w:p w14:paraId="BC000000">
      <w:pPr>
        <w:pStyle w:val="Style_4"/>
        <w:numPr>
          <w:ilvl w:val="0"/>
          <w:numId w:val="0"/>
        </w:numPr>
        <w:ind/>
        <w:jc w:val="center"/>
      </w:pPr>
      <w:r>
        <w:t>подтверждающей документации, место, дата и время осуществления</w:t>
      </w:r>
    </w:p>
    <w:p w14:paraId="BD000000">
      <w:pPr>
        <w:pStyle w:val="Style_4"/>
        <w:numPr>
          <w:ilvl w:val="0"/>
          <w:numId w:val="0"/>
        </w:numPr>
        <w:ind/>
        <w:jc w:val="center"/>
      </w:pPr>
      <w:r>
        <w:t xml:space="preserve"> комиссионного осмотра заявленных транспортных средств</w:t>
      </w:r>
    </w:p>
    <w:p w14:paraId="BE000000">
      <w:pPr>
        <w:rPr>
          <w:sz w:val="28"/>
        </w:rPr>
      </w:pPr>
    </w:p>
    <w:p w14:paraId="BF000000">
      <w:pPr>
        <w:ind w:firstLine="709" w:left="0"/>
        <w:jc w:val="both"/>
        <w:rPr>
          <w:sz w:val="28"/>
        </w:rPr>
      </w:pPr>
      <w:r>
        <w:rPr>
          <w:sz w:val="28"/>
        </w:rPr>
        <w:t>7.1. Конверты с заявками на участие в открытом конкурсе подаются перевозчиками либо их представителями лично или направляются по почте.</w:t>
      </w:r>
    </w:p>
    <w:p w14:paraId="C0000000">
      <w:pPr>
        <w:ind w:firstLine="709" w:left="0"/>
        <w:jc w:val="both"/>
        <w:rPr>
          <w:sz w:val="28"/>
        </w:rPr>
      </w:pPr>
      <w:r>
        <w:rPr>
          <w:sz w:val="28"/>
        </w:rPr>
        <w:t>7.2. Законным представителем перевозчика -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индивидуального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оформленной в соответствии с законодательством Российской Федерации.</w:t>
      </w:r>
    </w:p>
    <w:p w14:paraId="C1000000">
      <w:pPr>
        <w:ind w:firstLine="709" w:left="0"/>
        <w:jc w:val="both"/>
        <w:rPr>
          <w:sz w:val="28"/>
        </w:rPr>
      </w:pPr>
      <w:r>
        <w:rPr>
          <w:sz w:val="28"/>
        </w:rPr>
        <w:t>7.3. На каждый конкурсный лот перевозчиком подается отдельный конверт с заявкой на участие в открытом конкурсе и прилагаемыми к ней документами в одном подлинном экземпляре.</w:t>
      </w:r>
    </w:p>
    <w:p w14:paraId="C2000000">
      <w:pPr>
        <w:ind w:firstLine="709" w:left="0"/>
        <w:jc w:val="both"/>
        <w:rPr>
          <w:sz w:val="28"/>
        </w:rPr>
      </w:pPr>
      <w:r>
        <w:rPr>
          <w:sz w:val="28"/>
        </w:rPr>
        <w:t>7.4. Конверты с заявками на участие в открытом конкурсе принимаются и регистрируются с 10 апреля 2026 года по 11 мая 2026 года по адресу: 352290, ст. Отрадная, ул. Первомайская, 28;</w:t>
      </w:r>
    </w:p>
    <w:p w14:paraId="C3000000">
      <w:pPr>
        <w:ind w:firstLine="709" w:left="0"/>
        <w:jc w:val="both"/>
        <w:rPr>
          <w:sz w:val="28"/>
        </w:rPr>
      </w:pPr>
      <w:r>
        <w:rPr>
          <w:sz w:val="28"/>
        </w:rPr>
        <w:t>ежедневно, кроме субботы, воскресенья и нерабочих праздничных дней, с 09:00 до 18:00 (перерыв с 13:00 до 14:00), накануне нерабочих праздничных дней с 09:00 до 17:00 (перерыв с 13:00 до 14:00) в кабинете № 23.</w:t>
      </w:r>
    </w:p>
    <w:p w14:paraId="C4000000">
      <w:pPr>
        <w:ind w:firstLine="709" w:left="0"/>
        <w:jc w:val="both"/>
        <w:rPr>
          <w:sz w:val="28"/>
        </w:rPr>
      </w:pPr>
      <w:r>
        <w:rPr>
          <w:sz w:val="28"/>
        </w:rPr>
        <w:t>7.5. Заявка на участие в открытом конкурсе с прилагаемыми к ней документами подается в письменной форме в запечатанном конверте. Заявление о регистрации заявки на участие в Открытом конкурсе (</w:t>
      </w:r>
      <w:r>
        <w:rPr>
          <w:rStyle w:val="Style_6_ch"/>
          <w:b w:val="0"/>
          <w:color w:val="000000"/>
          <w:sz w:val="28"/>
        </w:rPr>
        <w:t>приложение № </w:t>
      </w:r>
      <w:r>
        <w:rPr>
          <w:sz w:val="28"/>
        </w:rPr>
        <w:t>1 к заявке на участие в открытом конкурсе) прилагается перевозчиком к запечатанному конверту с заявкой на участие в открытом конкурсе отдельно.</w:t>
      </w:r>
    </w:p>
    <w:p w14:paraId="C5000000">
      <w:pPr>
        <w:ind w:firstLine="709" w:left="0"/>
        <w:jc w:val="both"/>
        <w:rPr>
          <w:sz w:val="28"/>
        </w:rPr>
      </w:pPr>
      <w:r>
        <w:rPr>
          <w:sz w:val="28"/>
        </w:rPr>
        <w:t>7.6. На конверте указывается порядковый номер конкурсного лота и наименование предмета открытого конкурса, на участие в котором подается данная заявка, и полное наименование перевозчика, подавшего заявку на участие в Открытом конкурсе.</w:t>
      </w:r>
    </w:p>
    <w:p w14:paraId="C6000000">
      <w:pPr>
        <w:ind w:firstLine="709" w:left="0"/>
        <w:jc w:val="both"/>
        <w:rPr>
          <w:sz w:val="28"/>
        </w:rPr>
      </w:pPr>
      <w:r>
        <w:rPr>
          <w:sz w:val="28"/>
        </w:rPr>
        <w:t>7.7. Каждый конверт с заявкой на участие в открытом конкурсе регистрируется организатором открытого конкурса в день его поступления в журнале регистрации заявок на участие в открытом конкурсе (</w:t>
      </w:r>
      <w:r>
        <w:rPr>
          <w:rStyle w:val="Style_6_ch"/>
          <w:b w:val="0"/>
          <w:color w:val="000000"/>
          <w:sz w:val="28"/>
        </w:rPr>
        <w:t>приложение № </w:t>
      </w:r>
      <w:r>
        <w:rPr>
          <w:sz w:val="28"/>
        </w:rPr>
        <w:t>5 Положения) в порядке их поступления.</w:t>
      </w:r>
    </w:p>
    <w:p w14:paraId="C7000000">
      <w:pPr>
        <w:ind w:firstLine="709" w:left="0"/>
        <w:jc w:val="both"/>
        <w:rPr>
          <w:sz w:val="28"/>
        </w:rPr>
      </w:pPr>
      <w:r>
        <w:rPr>
          <w:sz w:val="28"/>
        </w:rPr>
        <w:t xml:space="preserve">7.8. Предоставление организатору открытого конкурса подтверждающей документации, предусмотренной </w:t>
      </w:r>
      <w:r>
        <w:rPr>
          <w:rStyle w:val="Style_6_ch"/>
          <w:b w:val="0"/>
          <w:color w:val="000000"/>
          <w:sz w:val="28"/>
        </w:rPr>
        <w:t>пунктом 14.3</w:t>
      </w:r>
      <w:r>
        <w:rPr>
          <w:sz w:val="28"/>
        </w:rPr>
        <w:t xml:space="preserve"> конкурсной документации осуществляется победителем открытого конкурса в срок до 19 мая 2026 года по адресу: ст. Отрадная, ул. Первомайская, д. 28;</w:t>
      </w:r>
    </w:p>
    <w:p w14:paraId="C8000000">
      <w:pPr>
        <w:ind w:firstLine="709" w:left="0"/>
        <w:jc w:val="both"/>
        <w:rPr>
          <w:sz w:val="28"/>
        </w:rPr>
      </w:pPr>
      <w:r>
        <w:rPr>
          <w:sz w:val="28"/>
        </w:rPr>
        <w:t>ежедневно, кроме субботы, воскресенья и нерабочих праздничных дней, с 9:00 до 18:00 (перерыв с 13:00 до 14:00, в пятницу с 9:00 до 17:00 (перерыв с 13:00 до 14:40), накануне нерабочих праздничных дней с 09:00 до 16:40 (перерыв с 13:00 до 14:30) в кабинете № 23.</w:t>
      </w:r>
    </w:p>
    <w:p w14:paraId="C9000000">
      <w:pPr>
        <w:ind w:firstLine="709" w:left="0"/>
        <w:jc w:val="both"/>
        <w:rPr>
          <w:sz w:val="28"/>
        </w:rPr>
      </w:pPr>
      <w:r>
        <w:rPr>
          <w:sz w:val="28"/>
        </w:rPr>
        <w:t xml:space="preserve">7.9. Осуществление комиссионного осмотра заявленных победителем открытого конкурса транспортных средств, предусмотренное </w:t>
      </w:r>
      <w:r>
        <w:rPr>
          <w:rStyle w:val="Style_6_ch"/>
          <w:b w:val="0"/>
          <w:color w:val="000000"/>
          <w:sz w:val="28"/>
        </w:rPr>
        <w:t>разделом 14</w:t>
      </w:r>
      <w:r>
        <w:rPr>
          <w:sz w:val="28"/>
        </w:rPr>
        <w:t xml:space="preserve"> конкурсной документации производится 20 мая 2026 года в 10 часов 00 минут по адресу: ст. Отрадная, ул. Первомайская, д. 28.</w:t>
      </w:r>
    </w:p>
    <w:p w14:paraId="CA000000">
      <w:pPr>
        <w:ind w:firstLine="851" w:left="0"/>
        <w:jc w:val="both"/>
        <w:rPr>
          <w:sz w:val="28"/>
        </w:rPr>
      </w:pPr>
    </w:p>
    <w:p w14:paraId="CB000000">
      <w:pPr>
        <w:pStyle w:val="Style_4"/>
        <w:numPr>
          <w:ilvl w:val="0"/>
          <w:numId w:val="0"/>
        </w:numPr>
        <w:ind/>
        <w:jc w:val="center"/>
      </w:pPr>
      <w:r>
        <w:t xml:space="preserve">8. Порядок и срок отзыва заявок на участие в открытом конкурсе, </w:t>
      </w:r>
    </w:p>
    <w:p w14:paraId="CC000000">
      <w:pPr>
        <w:pStyle w:val="Style_4"/>
        <w:numPr>
          <w:ilvl w:val="0"/>
          <w:numId w:val="0"/>
        </w:numPr>
        <w:ind/>
        <w:jc w:val="center"/>
      </w:pPr>
      <w:r>
        <w:t>порядок внесения изменений в такие заявки</w:t>
      </w:r>
    </w:p>
    <w:p w14:paraId="CD000000">
      <w:pPr>
        <w:rPr>
          <w:sz w:val="28"/>
        </w:rPr>
      </w:pPr>
    </w:p>
    <w:p w14:paraId="CE000000">
      <w:pPr>
        <w:ind w:firstLine="709" w:left="0"/>
        <w:jc w:val="both"/>
        <w:rPr>
          <w:sz w:val="28"/>
        </w:rPr>
      </w:pPr>
      <w:r>
        <w:rPr>
          <w:sz w:val="28"/>
        </w:rPr>
        <w:t>8.1. Перевозчик,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конкурсной документации, для подачи заявок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14:paraId="CF000000">
      <w:pPr>
        <w:ind w:firstLine="709" w:left="0"/>
        <w:jc w:val="both"/>
        <w:rPr>
          <w:sz w:val="28"/>
        </w:rPr>
      </w:pPr>
      <w:r>
        <w:rPr>
          <w:sz w:val="28"/>
        </w:rPr>
        <w:t>8.2. Изменение или отзыв поданной заявки на участие в открытом конкурсе производится по письменному заявлению перевозчика, подавшего такую заявку, либо его уполномоченного представителя.</w:t>
      </w:r>
    </w:p>
    <w:p w14:paraId="D0000000">
      <w:pPr>
        <w:ind w:firstLine="709" w:left="0"/>
        <w:jc w:val="both"/>
        <w:rPr>
          <w:sz w:val="28"/>
        </w:rPr>
      </w:pPr>
      <w:r>
        <w:rPr>
          <w:sz w:val="28"/>
        </w:rPr>
        <w:t>8.3. 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производится перевозчиком или его уполномоченным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14:paraId="D1000000">
      <w:pPr>
        <w:ind w:firstLine="709" w:left="0"/>
        <w:jc w:val="both"/>
        <w:rPr>
          <w:sz w:val="28"/>
        </w:rPr>
      </w:pPr>
      <w:r>
        <w:rPr>
          <w:sz w:val="28"/>
        </w:rPr>
        <w:t>8.4. Сведения об отзыве заявки на участие в Открытом конкурсе либо об изменении поданной заявки и прилагаемых к ней документов вносятся в протокол вскрытия конвертов с заявками на участие в конкурсе и в журнал регистрации заявок на участие в открытом конкурсе, а письменные заявления приобщаются к указанному протоколу.</w:t>
      </w:r>
    </w:p>
    <w:p w14:paraId="D2000000">
      <w:pPr>
        <w:ind w:firstLine="851" w:left="0"/>
        <w:jc w:val="both"/>
        <w:rPr>
          <w:sz w:val="28"/>
        </w:rPr>
      </w:pPr>
    </w:p>
    <w:p w14:paraId="D3000000">
      <w:pPr>
        <w:pStyle w:val="Style_4"/>
        <w:numPr>
          <w:ilvl w:val="0"/>
          <w:numId w:val="0"/>
        </w:numPr>
        <w:ind/>
        <w:jc w:val="center"/>
      </w:pPr>
      <w:r>
        <w:t xml:space="preserve">9. Форма, порядок и сроки предоставления перевозчикам </w:t>
      </w:r>
    </w:p>
    <w:p w14:paraId="D4000000">
      <w:pPr>
        <w:pStyle w:val="Style_4"/>
        <w:numPr>
          <w:ilvl w:val="0"/>
          <w:numId w:val="0"/>
        </w:numPr>
        <w:ind/>
        <w:jc w:val="center"/>
      </w:pPr>
      <w:r>
        <w:t>разъяснений положений Конкурсной документации</w:t>
      </w:r>
    </w:p>
    <w:p w14:paraId="D5000000">
      <w:pPr>
        <w:rPr>
          <w:sz w:val="28"/>
        </w:rPr>
      </w:pPr>
    </w:p>
    <w:p w14:paraId="D6000000">
      <w:pPr>
        <w:ind w:firstLine="709" w:left="0"/>
        <w:jc w:val="both"/>
        <w:rPr>
          <w:sz w:val="28"/>
        </w:rPr>
      </w:pPr>
      <w:r>
        <w:rPr>
          <w:sz w:val="28"/>
        </w:rPr>
        <w:t>9.1. Перевозчик вправе направить в письменной форме организатору открытого конкурса запрос о разъяснении положений Конкурсной документации по форме, определенной организатором открытого конкурса (</w:t>
      </w:r>
      <w:r>
        <w:rPr>
          <w:rStyle w:val="Style_6_ch"/>
          <w:b w:val="0"/>
          <w:color w:val="000000"/>
          <w:sz w:val="28"/>
        </w:rPr>
        <w:t>приложение №</w:t>
      </w:r>
      <w:r>
        <w:rPr>
          <w:sz w:val="28"/>
        </w:rPr>
        <w:t xml:space="preserve"> 6 Положения). В течение трех рабочих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открытого конкурса не позднее, чем за пять рабочих дней до дня окончания подачи заявок на участие в открытом конкурсе.</w:t>
      </w:r>
    </w:p>
    <w:p w14:paraId="D7000000">
      <w:pPr>
        <w:ind w:firstLine="851" w:left="0"/>
        <w:jc w:val="both"/>
        <w:rPr>
          <w:sz w:val="28"/>
        </w:rPr>
      </w:pPr>
    </w:p>
    <w:p w14:paraId="D8000000">
      <w:pPr>
        <w:pStyle w:val="Style_4"/>
        <w:numPr>
          <w:ilvl w:val="0"/>
          <w:numId w:val="0"/>
        </w:numPr>
        <w:ind/>
        <w:jc w:val="center"/>
      </w:pPr>
      <w:r>
        <w:t>10. Конкурсная комиссия</w:t>
      </w:r>
    </w:p>
    <w:p w14:paraId="D9000000">
      <w:pPr>
        <w:rPr>
          <w:sz w:val="28"/>
        </w:rPr>
      </w:pPr>
    </w:p>
    <w:p w14:paraId="DA000000">
      <w:pPr>
        <w:ind w:firstLine="709" w:left="0"/>
        <w:jc w:val="both"/>
        <w:rPr>
          <w:sz w:val="28"/>
        </w:rPr>
      </w:pPr>
      <w:r>
        <w:rPr>
          <w:sz w:val="28"/>
        </w:rPr>
        <w:t>10.1. Организатором открытого конкурса принимается решение о создании конкурсной комиссии, определяется ее состав, назначается председатель и секретарь конкурсной комиссии. Число членов конкурсной комиссии должно быть не менее пяти человек.</w:t>
      </w:r>
    </w:p>
    <w:p w14:paraId="DB000000">
      <w:pPr>
        <w:ind w:firstLine="709" w:left="0"/>
        <w:jc w:val="both"/>
        <w:rPr>
          <w:sz w:val="28"/>
        </w:rPr>
      </w:pPr>
      <w:r>
        <w:rPr>
          <w:sz w:val="28"/>
        </w:rPr>
        <w:t>10.2. Конкурсная комиссия является постоянно действующим коллегиальным органом организатора открытого конкурса. Членами конкурсной комиссии не могут быть перевозчики и их представители.</w:t>
      </w:r>
    </w:p>
    <w:p w14:paraId="DC000000">
      <w:pPr>
        <w:ind w:firstLine="709" w:left="0"/>
        <w:jc w:val="both"/>
        <w:rPr>
          <w:sz w:val="28"/>
        </w:rPr>
      </w:pPr>
      <w:r>
        <w:rPr>
          <w:sz w:val="28"/>
        </w:rPr>
        <w:t>10.3. Количественный и персональный состав конкурсной комиссии утверждается правовым актом организатора открытого конкурса.</w:t>
      </w:r>
    </w:p>
    <w:p w14:paraId="DD000000">
      <w:pPr>
        <w:ind w:firstLine="709" w:left="0"/>
        <w:jc w:val="both"/>
        <w:rPr>
          <w:sz w:val="28"/>
        </w:rPr>
      </w:pPr>
      <w:r>
        <w:rPr>
          <w:sz w:val="28"/>
        </w:rPr>
        <w:t>10.4. Члены конкурсной комиссии должны быть своевременно, не позднее чем за пять рабочих дней,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пятидесяти процентов общего числа ее членов. Принятие решения членами комиссии путем проведения заочного голосования не допускается.</w:t>
      </w:r>
    </w:p>
    <w:p w14:paraId="DE000000">
      <w:pPr>
        <w:ind w:firstLine="709" w:left="0"/>
        <w:jc w:val="both"/>
        <w:rPr>
          <w:sz w:val="28"/>
        </w:rPr>
      </w:pPr>
      <w:r>
        <w:rPr>
          <w:sz w:val="28"/>
        </w:rPr>
        <w:t>10.5. Конкурсной комиссией осуществляется вскрытие конвертов с заявками на участие в открытом конкурсе, оценка и сопоставление заявок на участие в открытом конкурсе, определение победителя открытого конкурса, ведение протокола вскрытия конвертов с заявками на участие в открытом конкурсе, протокола оценки и сопоставления заявок на участие в открытом конкурсе.</w:t>
      </w:r>
    </w:p>
    <w:p w14:paraId="DF000000">
      <w:pPr>
        <w:ind w:firstLine="709" w:left="0"/>
        <w:jc w:val="both"/>
        <w:rPr>
          <w:sz w:val="28"/>
        </w:rPr>
      </w:pPr>
      <w:r>
        <w:rPr>
          <w:sz w:val="28"/>
        </w:rPr>
        <w:t>10.6. Заявки на участие в открытом конкурсе оцениваются и сопоставляются конкурсной комиссией в присутствии лиц, подавших данные заявки, либо их представителей на основании письменной доверенности. Отсутствие указанных лиц не препятствует конкурсной комиссии в оценке и сопоставлении заявок на участие в открытом конкурсе.</w:t>
      </w:r>
    </w:p>
    <w:p w14:paraId="E0000000">
      <w:pPr>
        <w:ind w:firstLine="709" w:left="0"/>
        <w:jc w:val="both"/>
        <w:rPr>
          <w:sz w:val="28"/>
        </w:rPr>
      </w:pPr>
      <w:r>
        <w:rPr>
          <w:sz w:val="28"/>
        </w:rPr>
        <w:t>10.7. На заседании конкурсной комиссии (при проведении процедуры оценки сопоставления заявки) могут присутствовать представители органов местного самоуправления, на территории которых определены остановочные пункты маршрута, а также иные лица, приглашенные организатором открытого конкурса.</w:t>
      </w:r>
    </w:p>
    <w:p w14:paraId="E1000000">
      <w:pPr>
        <w:ind w:firstLine="709" w:left="0"/>
        <w:jc w:val="both"/>
        <w:rPr>
          <w:sz w:val="28"/>
        </w:rPr>
      </w:pPr>
      <w:r>
        <w:rPr>
          <w:sz w:val="28"/>
        </w:rPr>
        <w:t>10.8. Секретарь конкурсной комиссии составляет протоколы, определенные конкурсной документацией, и не участвует в определении конкурсной комиссией победителя Открытого конкурса. В случае отсутствия секретаря конкурсной комиссии, его функции выполняются иным должностным лицом организатора Открытого конкурса.</w:t>
      </w:r>
    </w:p>
    <w:p w14:paraId="E2000000">
      <w:pPr>
        <w:pStyle w:val="Style_4"/>
        <w:numPr>
          <w:ilvl w:val="0"/>
          <w:numId w:val="0"/>
        </w:numPr>
        <w:ind/>
        <w:jc w:val="both"/>
      </w:pPr>
    </w:p>
    <w:p w14:paraId="E3000000">
      <w:pPr>
        <w:pStyle w:val="Style_4"/>
        <w:numPr>
          <w:ilvl w:val="0"/>
          <w:numId w:val="0"/>
        </w:numPr>
        <w:ind/>
        <w:jc w:val="center"/>
      </w:pPr>
      <w:r>
        <w:t xml:space="preserve">11. Порядок вскрытия конвертов с заявками </w:t>
      </w:r>
    </w:p>
    <w:p w14:paraId="E4000000">
      <w:pPr>
        <w:pStyle w:val="Style_4"/>
        <w:numPr>
          <w:ilvl w:val="0"/>
          <w:numId w:val="0"/>
        </w:numPr>
        <w:ind/>
        <w:jc w:val="center"/>
      </w:pPr>
      <w:r>
        <w:t>на участие в открытом конкурсе</w:t>
      </w:r>
    </w:p>
    <w:p w14:paraId="E5000000">
      <w:pPr>
        <w:ind w:firstLine="851" w:left="0"/>
        <w:jc w:val="both"/>
        <w:rPr>
          <w:sz w:val="28"/>
        </w:rPr>
      </w:pPr>
    </w:p>
    <w:p w14:paraId="E6000000">
      <w:pPr>
        <w:ind w:firstLine="709" w:left="0"/>
        <w:jc w:val="both"/>
        <w:rPr>
          <w:sz w:val="28"/>
        </w:rPr>
      </w:pPr>
      <w:r>
        <w:rPr>
          <w:sz w:val="28"/>
        </w:rPr>
        <w:t>11.1. Публично, в день, время и в месте, указанные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течение одного дня.</w:t>
      </w:r>
    </w:p>
    <w:p w14:paraId="E7000000">
      <w:pPr>
        <w:ind w:firstLine="709" w:left="0"/>
        <w:jc w:val="both"/>
        <w:rPr>
          <w:sz w:val="28"/>
        </w:rPr>
      </w:pPr>
      <w:r>
        <w:rPr>
          <w:sz w:val="28"/>
        </w:rPr>
        <w:t>11.2. Конкурсной комиссией производится вскрытие конвертов, которые поступили организатору открытого конкурса в сроки, определенные извещением о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заявки таким перевозчиком не отозваны, все заявки на участие в открытом конкурсе такого перевозчика, поданные в отношении данного лота не рассматриваются и возвращаются этому перевозчику с указанием причин.</w:t>
      </w:r>
    </w:p>
    <w:p w14:paraId="E8000000">
      <w:pPr>
        <w:ind w:firstLine="709" w:left="0"/>
        <w:jc w:val="both"/>
        <w:rPr>
          <w:sz w:val="28"/>
        </w:rPr>
      </w:pPr>
      <w:r>
        <w:rPr>
          <w:sz w:val="28"/>
        </w:rPr>
        <w:t>11.3. 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 Такие перевозчики к участию в открытом конкурсе не допускаются.</w:t>
      </w:r>
    </w:p>
    <w:p w14:paraId="E9000000">
      <w:pPr>
        <w:ind w:firstLine="709" w:left="0"/>
        <w:jc w:val="both"/>
        <w:rPr>
          <w:sz w:val="28"/>
        </w:rPr>
      </w:pPr>
      <w:r>
        <w:rPr>
          <w:sz w:val="28"/>
        </w:rPr>
        <w:t>11.4. Перевозчики, подавшие заявки на участие в открытом конкурсе, или их уполномоченные представители вправе присутствовать при проведении процедуры вскрытия конвертов.</w:t>
      </w:r>
    </w:p>
    <w:p w14:paraId="EA000000">
      <w:pPr>
        <w:ind w:firstLine="709" w:left="0"/>
        <w:jc w:val="both"/>
        <w:rPr>
          <w:sz w:val="28"/>
        </w:rPr>
      </w:pPr>
      <w:r>
        <w:rPr>
          <w:sz w:val="28"/>
        </w:rPr>
        <w:t xml:space="preserve">11.5. Наименование (для юридического лица), фамилия, имя, отчество (при наличии, для индивидуального предпринимателя) каждого перевозчика,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r>
        <w:rPr>
          <w:rStyle w:val="Style_6_ch"/>
          <w:b w:val="0"/>
          <w:color w:val="000000"/>
          <w:sz w:val="28"/>
        </w:rPr>
        <w:t>пунктом 11.3</w:t>
      </w:r>
      <w:r>
        <w:rPr>
          <w:sz w:val="28"/>
        </w:rPr>
        <w:t xml:space="preserve"> конкурсной документации объявляются при вскрытии конвертов и заносятся в протокол вскрытия конвертов.</w:t>
      </w:r>
    </w:p>
    <w:p w14:paraId="EB000000">
      <w:pPr>
        <w:ind w:firstLine="709" w:left="0"/>
        <w:jc w:val="both"/>
        <w:rPr>
          <w:sz w:val="28"/>
        </w:rPr>
      </w:pPr>
      <w:r>
        <w:rPr>
          <w:sz w:val="28"/>
        </w:rPr>
        <w:t>11.6.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открытого конкурса на своем информационном портале не позднее чем в течение рабочего дня, следующего после дня подписания такого протокола.</w:t>
      </w:r>
    </w:p>
    <w:p w14:paraId="EC000000">
      <w:pPr>
        <w:ind w:firstLine="709" w:left="0"/>
        <w:jc w:val="both"/>
        <w:rPr>
          <w:sz w:val="28"/>
        </w:rPr>
      </w:pPr>
      <w:r>
        <w:rPr>
          <w:sz w:val="28"/>
        </w:rPr>
        <w:t>11.7. Организатор открытого конкурса обязан осуществлять аудио- и (или) видеозапись процедуры вскрытия конвертов с заявками на участие в открытом конкурсе.</w:t>
      </w:r>
    </w:p>
    <w:p w14:paraId="ED000000">
      <w:pPr>
        <w:pStyle w:val="Style_4"/>
        <w:numPr>
          <w:ilvl w:val="0"/>
          <w:numId w:val="0"/>
        </w:numPr>
        <w:ind/>
        <w:jc w:val="both"/>
      </w:pPr>
    </w:p>
    <w:p w14:paraId="EE000000">
      <w:pPr>
        <w:pStyle w:val="Style_4"/>
        <w:numPr>
          <w:ilvl w:val="0"/>
          <w:numId w:val="0"/>
        </w:numPr>
        <w:ind/>
        <w:jc w:val="center"/>
      </w:pPr>
      <w:r>
        <w:t>12. Порядок рассмотрения заявок на участие в открытом конкурсе</w:t>
      </w:r>
    </w:p>
    <w:p w14:paraId="EF000000">
      <w:pPr>
        <w:ind w:firstLine="851" w:left="0"/>
        <w:jc w:val="both"/>
        <w:rPr>
          <w:sz w:val="28"/>
        </w:rPr>
      </w:pPr>
    </w:p>
    <w:p w14:paraId="F0000000">
      <w:pPr>
        <w:ind w:firstLine="851" w:left="0"/>
        <w:jc w:val="both"/>
        <w:rPr>
          <w:sz w:val="28"/>
        </w:rPr>
      </w:pPr>
      <w:r>
        <w:rPr>
          <w:sz w:val="28"/>
        </w:rPr>
        <w:t>12.1. Организатор открытого конкурса рассматривает заявки на участие в открытом конкурсе на соответствие требованиям к оформлению заявки на участие в Открытом конкурсе (</w:t>
      </w:r>
      <w:r>
        <w:rPr>
          <w:rStyle w:val="Style_6_ch"/>
          <w:b w:val="0"/>
          <w:color w:val="000000"/>
          <w:sz w:val="28"/>
        </w:rPr>
        <w:t>приложение № </w:t>
      </w:r>
      <w:r>
        <w:rPr>
          <w:sz w:val="28"/>
        </w:rPr>
        <w:t xml:space="preserve">3 Положения), и соответствие подавших такие заявки перевозчиков требованиям, установленным </w:t>
      </w:r>
      <w:r>
        <w:rPr>
          <w:rStyle w:val="Style_6_ch"/>
          <w:b w:val="0"/>
          <w:color w:val="000000"/>
          <w:sz w:val="28"/>
        </w:rPr>
        <w:t>пунктом 4.1</w:t>
      </w:r>
      <w:r>
        <w:rPr>
          <w:sz w:val="28"/>
        </w:rPr>
        <w:t xml:space="preserve"> конкурсной документации. Срок рассмотрения заявок на участие в открытом конкурсе не может превышать двадцать календарных дней со дня вскрытия конвертов с заявками на участие в открытом конкурсе.</w:t>
      </w:r>
    </w:p>
    <w:p w14:paraId="F1000000">
      <w:pPr>
        <w:ind w:firstLine="851" w:left="0"/>
        <w:jc w:val="both"/>
        <w:rPr>
          <w:sz w:val="28"/>
        </w:rPr>
      </w:pPr>
      <w:r>
        <w:rPr>
          <w:sz w:val="28"/>
        </w:rPr>
        <w:t xml:space="preserve">12.2. Заявки на участие в открытом конкурсе, которые содержат недостоверные сведения и/или не соответствующие требованиям </w:t>
      </w:r>
      <w:r>
        <w:rPr>
          <w:rStyle w:val="Style_6_ch"/>
          <w:b w:val="0"/>
          <w:color w:val="000000"/>
          <w:sz w:val="28"/>
        </w:rPr>
        <w:t>пункта 6.5</w:t>
      </w:r>
      <w:r>
        <w:rPr>
          <w:sz w:val="28"/>
        </w:rPr>
        <w:t xml:space="preserve"> конкурсной документации, отклоняются.</w:t>
      </w:r>
    </w:p>
    <w:p w14:paraId="F2000000">
      <w:pPr>
        <w:ind w:firstLine="851" w:left="0"/>
        <w:jc w:val="both"/>
        <w:rPr>
          <w:sz w:val="28"/>
        </w:rPr>
      </w:pPr>
      <w:r>
        <w:rPr>
          <w:sz w:val="28"/>
        </w:rPr>
        <w:t xml:space="preserve">12.3. На основании результатов рассмотрения заявок на участие в открытом конкурсе организатором открытого конкурса принимается решение о допуске перевозчика, подавшего заявку на участие в Открытом конкурсе, к участию в открытом конкурсе и о признании такого перевозчика участником открытого конкурса или об отказе в допуске такого перевозчика к участию в открытом конкурсе в порядке и по основаниям, которые предусмотрены </w:t>
      </w:r>
      <w:r>
        <w:rPr>
          <w:rStyle w:val="Style_6_ch"/>
          <w:b w:val="0"/>
          <w:color w:val="000000"/>
          <w:sz w:val="28"/>
        </w:rPr>
        <w:t>пунктом 4.2</w:t>
      </w:r>
      <w:r>
        <w:rPr>
          <w:sz w:val="28"/>
        </w:rPr>
        <w:t xml:space="preserve"> конкурсной документации, а также оформляется протокол рассмотрения заявок на участие в открытом конкурсе, который ведется организатором Открытого конкурса и подписывается его должностными лицами, осуществляющими рассмотрение заявок на участие в открытом конкурсе в день завершения процедуры рассмотрения таких заявок.</w:t>
      </w:r>
    </w:p>
    <w:p w14:paraId="F3000000">
      <w:pPr>
        <w:ind w:firstLine="851" w:left="0"/>
        <w:jc w:val="both"/>
        <w:rPr>
          <w:sz w:val="28"/>
        </w:rPr>
      </w:pPr>
      <w:r>
        <w:rPr>
          <w:sz w:val="28"/>
        </w:rPr>
        <w:t>Организатор открытого конкурса осуществляет опубликование протокола рассмотрения заявок на участие в открытом конкурсе на своем информационном портале в срок, не позднее одного рабочего дня с даты завершения процедуры рассмотрения таких заявок.</w:t>
      </w:r>
    </w:p>
    <w:p w14:paraId="F4000000">
      <w:pPr>
        <w:ind w:firstLine="851" w:left="0"/>
        <w:jc w:val="both"/>
        <w:rPr>
          <w:sz w:val="28"/>
        </w:rPr>
      </w:pPr>
      <w:r>
        <w:rPr>
          <w:sz w:val="28"/>
        </w:rPr>
        <w:t>Протокол должен содержать сведения о перевозчиках, подавших заявки на участие в открытом конкурсе, решение о допуске перевозчика к участию в открытом конкурсе и о признании его участником открытого конкурса или об отказе в допуске перевозчика к участию в открытом конкурсе с обоснованием такого решения и указанием пунктов Конкурсной документации, которым не соответствует перевозчик, положений Конкурсной документации, которым не соответствует заявка на участие в открытом конкурсе этого перевозчика и (или) прилагаемые к ней документы, а в случаях предусмотренных Конкурсной документацией - сведения о признании открытого конкурса не состоявшимся. Указанный протокол не позднее рабочего дня, следующего после дня рассмотрения заявок на участие в открытом конкурсе, размещается организатором открытого конкурса на своем информационном портале.</w:t>
      </w:r>
    </w:p>
    <w:p w14:paraId="F5000000">
      <w:pPr>
        <w:ind w:firstLine="851" w:left="0"/>
        <w:jc w:val="both"/>
        <w:rPr>
          <w:sz w:val="28"/>
        </w:rPr>
      </w:pPr>
      <w:r>
        <w:rPr>
          <w:sz w:val="28"/>
        </w:rPr>
        <w:t>12.4.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перевозчиков, подавших заявки на участие в открытом конкурсе, или о допуске к участию в открытом конкурсе и признании участником открытого конкурса только одного перевозчика, подавшего заявку на участие в открытом конкурсе, открытый конкурс признается не состоявшимся. В случае, если Конкурсной документацией предусмотрено два и более лота, открытый конкурс признается не 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перевозчика, подавшего заявку на участие в открытом конкурсе в отношении этого лота.</w:t>
      </w:r>
    </w:p>
    <w:p w14:paraId="F6000000">
      <w:pPr>
        <w:pStyle w:val="Style_4"/>
        <w:numPr>
          <w:ilvl w:val="0"/>
          <w:numId w:val="0"/>
        </w:numPr>
        <w:ind/>
        <w:jc w:val="both"/>
      </w:pPr>
    </w:p>
    <w:p w14:paraId="F7000000">
      <w:pPr>
        <w:pStyle w:val="Style_4"/>
        <w:numPr>
          <w:ilvl w:val="0"/>
          <w:numId w:val="0"/>
        </w:numPr>
        <w:ind/>
        <w:jc w:val="center"/>
      </w:pPr>
      <w:r>
        <w:t>13. Оценка и сопоставление заявок на участие в открытом конкурсе</w:t>
      </w:r>
    </w:p>
    <w:p w14:paraId="F8000000">
      <w:pPr>
        <w:ind w:firstLine="851" w:left="0"/>
        <w:jc w:val="both"/>
        <w:rPr>
          <w:sz w:val="28"/>
        </w:rPr>
      </w:pPr>
    </w:p>
    <w:p w14:paraId="F9000000">
      <w:pPr>
        <w:ind w:firstLine="709" w:left="0"/>
        <w:jc w:val="both"/>
        <w:rPr>
          <w:sz w:val="28"/>
        </w:rPr>
      </w:pPr>
      <w:r>
        <w:rPr>
          <w:sz w:val="28"/>
        </w:rPr>
        <w:t>13.1.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по муниципальным автобусным маршрутам регулярных перевозок.</w:t>
      </w:r>
    </w:p>
    <w:p w14:paraId="FA000000">
      <w:pPr>
        <w:ind w:firstLine="709" w:left="0"/>
        <w:jc w:val="both"/>
        <w:rPr>
          <w:sz w:val="28"/>
        </w:rPr>
      </w:pPr>
      <w:r>
        <w:rPr>
          <w:sz w:val="28"/>
        </w:rPr>
        <w:t>13.2. Организатор открытого конкурса обязан осуществлять аудио- и (или) видеозапись проведения конкурсной комиссией процедуры оценки и сопоставления заявок на участие в открытом конкурсе.</w:t>
      </w:r>
    </w:p>
    <w:p w14:paraId="FB000000">
      <w:pPr>
        <w:ind w:firstLine="709" w:left="0"/>
        <w:jc w:val="both"/>
        <w:rPr>
          <w:sz w:val="28"/>
        </w:rPr>
      </w:pPr>
      <w:r>
        <w:rPr>
          <w:sz w:val="28"/>
        </w:rPr>
        <w:t>13.3. Заявки на участие в открытом конкурсе оцениваются и сопоставляются конкурсной комиссией с учетом критериев, установленных шкалой для оценки критериев при проведении оценки и сопоставления заявок на участие в открытом конкурсе (далее - шкала).</w:t>
      </w:r>
    </w:p>
    <w:p w14:paraId="FC000000">
      <w:pPr>
        <w:ind w:firstLine="709" w:left="0"/>
        <w:jc w:val="both"/>
        <w:rPr>
          <w:sz w:val="28"/>
        </w:rPr>
      </w:pPr>
      <w:r>
        <w:rPr>
          <w:sz w:val="28"/>
        </w:rPr>
        <w:t>13.4. Шкала устанавливается нормативно-правовым актом организатора открытого конкурса. 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14:paraId="FD000000">
      <w:pPr>
        <w:ind w:firstLine="709" w:left="0"/>
        <w:jc w:val="both"/>
        <w:rPr>
          <w:sz w:val="28"/>
        </w:rPr>
      </w:pPr>
      <w:r>
        <w:rPr>
          <w:sz w:val="28"/>
        </w:rPr>
        <w:t>Сведения о решении каждого члена комиссии о присвоении заявкам на участие в открытом конкурсе баллов, итоговых баллов и порядковых номеров оформляется в форме бюллетеня для голосования члена конкурной комиссии.</w:t>
      </w:r>
    </w:p>
    <w:p w14:paraId="FE000000">
      <w:pPr>
        <w:ind w:firstLine="709" w:left="0"/>
        <w:jc w:val="both"/>
        <w:rPr>
          <w:sz w:val="28"/>
        </w:rPr>
      </w:pPr>
      <w:r>
        <w:rPr>
          <w:sz w:val="28"/>
        </w:rPr>
        <w:t>13.5. Победителем открытого конкурса признается участник открытого конкурса, который предложил лучшие условия к заявке на участие, в открытом конкурсе которого присвоен первый номер.</w:t>
      </w:r>
    </w:p>
    <w:p w14:paraId="FF000000">
      <w:pPr>
        <w:ind w:firstLine="709" w:left="0"/>
        <w:jc w:val="both"/>
        <w:rPr>
          <w:sz w:val="28"/>
        </w:rPr>
      </w:pPr>
      <w:r>
        <w:rPr>
          <w:sz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а при отсутствии такого участника - участник открытого конкурса, заявке которого соответствует лучшее значение критерия, указанного в пункте 3 шкалы.</w:t>
      </w:r>
    </w:p>
    <w:p w14:paraId="00010000">
      <w:pPr>
        <w:ind w:firstLine="709" w:left="0"/>
        <w:jc w:val="both"/>
        <w:rPr>
          <w:sz w:val="28"/>
        </w:rPr>
      </w:pPr>
      <w:r>
        <w:rPr>
          <w:sz w:val="28"/>
        </w:rPr>
        <w:t xml:space="preserve">13.6.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w:t>
      </w:r>
      <w:r>
        <w:rPr>
          <w:rStyle w:val="Style_6_ch"/>
          <w:b w:val="0"/>
          <w:color w:val="000000"/>
          <w:sz w:val="28"/>
        </w:rPr>
        <w:t>пунктом 12.2</w:t>
      </w:r>
      <w:r>
        <w:rPr>
          <w:sz w:val="28"/>
        </w:rPr>
        <w:t xml:space="preserve"> Конкурсной документации.</w:t>
      </w:r>
    </w:p>
    <w:p w14:paraId="01010000">
      <w:pPr>
        <w:ind w:firstLine="709" w:left="0"/>
        <w:jc w:val="both"/>
        <w:rPr>
          <w:sz w:val="28"/>
        </w:rPr>
      </w:pPr>
      <w:r>
        <w:rPr>
          <w:sz w:val="28"/>
        </w:rPr>
        <w:t>В случае, если указанная заявка 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14:paraId="02010000">
      <w:pPr>
        <w:ind w:firstLine="709" w:left="0"/>
        <w:jc w:val="both"/>
        <w:rPr>
          <w:sz w:val="28"/>
        </w:rPr>
      </w:pPr>
      <w:r>
        <w:rPr>
          <w:sz w:val="28"/>
        </w:rPr>
        <w:t>В случае, если открытый конкурс был признан не 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победителю этого конкурса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14:paraId="03010000">
      <w:pPr>
        <w:ind w:firstLine="709" w:left="0"/>
        <w:jc w:val="both"/>
        <w:rPr>
          <w:sz w:val="28"/>
        </w:rPr>
      </w:pPr>
      <w:r>
        <w:rPr>
          <w:sz w:val="28"/>
        </w:rPr>
        <w:t>13.7.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04010000">
      <w:pPr>
        <w:ind w:firstLine="709" w:left="0"/>
        <w:jc w:val="both"/>
        <w:rPr>
          <w:sz w:val="28"/>
        </w:rPr>
      </w:pPr>
      <w:r>
        <w:rPr>
          <w:sz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настоящим пунктом Конкурсной документации обстоятельства.</w:t>
      </w:r>
    </w:p>
    <w:p w14:paraId="05010000">
      <w:pPr>
        <w:ind w:firstLine="709" w:left="0"/>
        <w:jc w:val="both"/>
        <w:rPr>
          <w:sz w:val="28"/>
        </w:rPr>
      </w:pPr>
      <w:r>
        <w:rPr>
          <w:sz w:val="28"/>
        </w:rPr>
        <w:t>13.8. 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которые были предметом оценки и сопоставления, о принятом на основании результатов оценки и 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(при наличии, для индивидуального предпринимателя) участников открытого конкурса, заявкам на участие в открытом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w:t>
      </w:r>
    </w:p>
    <w:p w14:paraId="06010000">
      <w:pPr>
        <w:ind w:firstLine="709" w:left="0"/>
        <w:jc w:val="both"/>
        <w:rPr>
          <w:sz w:val="28"/>
        </w:rPr>
      </w:pPr>
      <w:r>
        <w:rPr>
          <w:sz w:val="28"/>
        </w:rPr>
        <w:t>13.9. Протокол оценки и сопоставления заявок на участие в открытом конкурсе размещается организатором открытого конкурса на своем информационном портале в течение рабочего дня, следующего после дня подписания указанного протокола.</w:t>
      </w:r>
    </w:p>
    <w:p w14:paraId="07010000">
      <w:pPr>
        <w:ind w:firstLine="709" w:left="0"/>
        <w:jc w:val="both"/>
        <w:rPr>
          <w:sz w:val="28"/>
        </w:rPr>
      </w:pPr>
      <w:r>
        <w:rPr>
          <w:sz w:val="28"/>
        </w:rPr>
        <w:t>13.10.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 и (или) видеозаписи процедур вскрытия конвертов с заявками на участие в открытом конкурсе, оценки и сопоставления заявок на участие в открытом конкурсе хранятся организатором открытого конкурса не менее пяти лет.</w:t>
      </w:r>
    </w:p>
    <w:p w14:paraId="08010000">
      <w:pPr>
        <w:ind w:firstLine="709" w:left="0"/>
        <w:jc w:val="both"/>
        <w:rPr>
          <w:sz w:val="28"/>
        </w:rPr>
      </w:pPr>
      <w:r>
        <w:rPr>
          <w:sz w:val="28"/>
        </w:rPr>
        <w:t>13.11. Результаты открытого конкурса могут быть обжалованы в судебном порядке.</w:t>
      </w:r>
    </w:p>
    <w:p w14:paraId="09010000">
      <w:pPr>
        <w:pStyle w:val="Style_4"/>
        <w:numPr>
          <w:ilvl w:val="0"/>
          <w:numId w:val="0"/>
        </w:numPr>
        <w:ind/>
        <w:jc w:val="both"/>
      </w:pPr>
    </w:p>
    <w:p w14:paraId="0A010000">
      <w:pPr>
        <w:pStyle w:val="Style_4"/>
        <w:numPr>
          <w:ilvl w:val="0"/>
          <w:numId w:val="0"/>
        </w:numPr>
        <w:ind/>
        <w:jc w:val="center"/>
      </w:pPr>
      <w:r>
        <w:t xml:space="preserve">14. Порядок и сроки подтверждения наличия у участника </w:t>
      </w:r>
    </w:p>
    <w:p w14:paraId="0B010000">
      <w:pPr>
        <w:pStyle w:val="Style_4"/>
        <w:numPr>
          <w:ilvl w:val="0"/>
          <w:numId w:val="0"/>
        </w:numPr>
        <w:ind/>
        <w:jc w:val="center"/>
      </w:pPr>
      <w:r>
        <w:t xml:space="preserve">открытого конкурса транспортных средств, предусмотренных </w:t>
      </w:r>
    </w:p>
    <w:p w14:paraId="0C010000">
      <w:pPr>
        <w:pStyle w:val="Style_4"/>
        <w:numPr>
          <w:ilvl w:val="0"/>
          <w:numId w:val="0"/>
        </w:numPr>
        <w:ind/>
        <w:jc w:val="center"/>
      </w:pPr>
      <w:r>
        <w:t>его заявкой на участие в открытом конкурсе</w:t>
      </w:r>
    </w:p>
    <w:p w14:paraId="0D010000">
      <w:pPr>
        <w:ind w:firstLine="851" w:left="0"/>
        <w:jc w:val="both"/>
        <w:rPr>
          <w:sz w:val="28"/>
        </w:rPr>
      </w:pPr>
    </w:p>
    <w:p w14:paraId="0E010000">
      <w:pPr>
        <w:ind w:firstLine="709" w:left="0"/>
        <w:jc w:val="both"/>
        <w:rPr>
          <w:sz w:val="28"/>
        </w:rPr>
      </w:pPr>
      <w:r>
        <w:rPr>
          <w:sz w:val="28"/>
        </w:rPr>
        <w:t xml:space="preserve">14.1. 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согласно принятых на себя в соответствии с </w:t>
      </w:r>
      <w:r>
        <w:rPr>
          <w:rStyle w:val="Style_6_ch"/>
          <w:b w:val="0"/>
          <w:color w:val="000000"/>
          <w:sz w:val="28"/>
        </w:rPr>
        <w:t>подпунктом 2 пункта 4.1</w:t>
      </w:r>
      <w:r>
        <w:rPr>
          <w:sz w:val="28"/>
        </w:rPr>
        <w:t xml:space="preserve"> Конкурсной документации обязательств в течение пятнадцати рабочих дней со дня проведения открытого конкурса (оценки и сопоставления заявок на участие в открытом конкурсе). Процедура подтверждения состоит из двух этапов: предоставление организатору открытого конкурса подтверждающих документов и предоставление на комиссионный осмотр заявленных транспортных средств.</w:t>
      </w:r>
    </w:p>
    <w:p w14:paraId="0F010000">
      <w:pPr>
        <w:ind w:firstLine="709" w:left="0"/>
        <w:jc w:val="both"/>
        <w:rPr>
          <w:sz w:val="28"/>
        </w:rPr>
      </w:pPr>
      <w:r>
        <w:rPr>
          <w:sz w:val="28"/>
        </w:rPr>
        <w:t xml:space="preserve">14.2.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соответствующей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w:t>
      </w:r>
      <w:r>
        <w:rPr>
          <w:rStyle w:val="Style_6_ch"/>
          <w:b w:val="0"/>
          <w:color w:val="000000"/>
          <w:sz w:val="28"/>
        </w:rPr>
        <w:t>подпунктом 2 пункта 4.1</w:t>
      </w:r>
      <w:r>
        <w:rPr>
          <w:sz w:val="28"/>
        </w:rPr>
        <w:t xml:space="preserve"> Конкурсной документации обязательства, а также установления соответствия сведениям, содержащимся в сводной информации о транспортных средствах, заявленных для участия в открытом конкурсе на предоставление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w:t>
      </w:r>
      <w:r>
        <w:rPr>
          <w:rStyle w:val="Style_6_ch"/>
          <w:b w:val="0"/>
          <w:color w:val="000000"/>
          <w:sz w:val="28"/>
        </w:rPr>
        <w:t>приложение № 3</w:t>
      </w:r>
      <w:r>
        <w:rPr>
          <w:sz w:val="28"/>
        </w:rPr>
        <w:t xml:space="preserve"> к заявке на участие в открытом конкурсе).</w:t>
      </w:r>
    </w:p>
    <w:p w14:paraId="10010000">
      <w:pPr>
        <w:ind w:firstLine="709" w:left="0"/>
        <w:jc w:val="both"/>
        <w:rPr>
          <w:sz w:val="28"/>
        </w:rPr>
      </w:pPr>
      <w:r>
        <w:rPr>
          <w:sz w:val="28"/>
        </w:rPr>
        <w:t>14.3. К подтверждающим документам относятся:</w:t>
      </w:r>
    </w:p>
    <w:p w14:paraId="11010000">
      <w:pPr>
        <w:ind w:firstLine="709" w:left="0"/>
        <w:jc w:val="both"/>
        <w:rPr>
          <w:sz w:val="28"/>
        </w:rPr>
      </w:pPr>
      <w:r>
        <w:rPr>
          <w:sz w:val="28"/>
        </w:rPr>
        <w:t>копия паспорта транспортного средства;</w:t>
      </w:r>
    </w:p>
    <w:p w14:paraId="12010000">
      <w:pPr>
        <w:ind w:firstLine="709" w:left="0"/>
        <w:jc w:val="both"/>
        <w:rPr>
          <w:sz w:val="28"/>
        </w:rPr>
      </w:pPr>
      <w:r>
        <w:rPr>
          <w:sz w:val="28"/>
        </w:rPr>
        <w:t>копия свидетельства о регистрации транспортного средства;</w:t>
      </w:r>
    </w:p>
    <w:p w14:paraId="13010000">
      <w:pPr>
        <w:ind w:firstLine="709" w:left="0"/>
        <w:jc w:val="both"/>
        <w:rPr>
          <w:sz w:val="28"/>
        </w:rPr>
      </w:pPr>
      <w:r>
        <w:rPr>
          <w:sz w:val="28"/>
        </w:rPr>
        <w:t>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14:paraId="14010000">
      <w:pPr>
        <w:ind w:firstLine="709" w:left="0"/>
        <w:jc w:val="both"/>
        <w:rPr>
          <w:sz w:val="28"/>
        </w:rPr>
      </w:pPr>
      <w:r>
        <w:rPr>
          <w:sz w:val="28"/>
        </w:rPr>
        <w:t>копия талона государственного технического осмотра (диагностической карты);</w:t>
      </w:r>
    </w:p>
    <w:p w14:paraId="15010000">
      <w:pPr>
        <w:ind w:firstLine="709" w:left="0"/>
        <w:jc w:val="both"/>
        <w:rPr>
          <w:sz w:val="28"/>
        </w:rPr>
      </w:pPr>
      <w:r>
        <w:rPr>
          <w:sz w:val="28"/>
        </w:rPr>
        <w:t>документы, подтверждающие класс транспортного средства (справка перевозчика о длине транспортного средства и классе транспортного средства);</w:t>
      </w:r>
    </w:p>
    <w:p w14:paraId="16010000">
      <w:pPr>
        <w:ind w:firstLine="709" w:left="0"/>
        <w:jc w:val="both"/>
        <w:rPr>
          <w:sz w:val="28"/>
        </w:rPr>
      </w:pPr>
      <w:r>
        <w:rPr>
          <w:sz w:val="28"/>
        </w:rPr>
        <w:t>документы, подтверждающие оснащение транспортного средства оборудованием для перевозки пассажиров с ограниченными возможностями передвижения;</w:t>
      </w:r>
    </w:p>
    <w:p w14:paraId="17010000">
      <w:pPr>
        <w:ind w:firstLine="709" w:left="0"/>
        <w:jc w:val="both"/>
        <w:rPr>
          <w:sz w:val="28"/>
        </w:rPr>
      </w:pPr>
      <w:r>
        <w:rPr>
          <w:sz w:val="28"/>
        </w:rPr>
        <w:t>документы, подтверждающие оснащение транспортного средства системами кондиционирования воздуха;</w:t>
      </w:r>
    </w:p>
    <w:p w14:paraId="18010000">
      <w:pPr>
        <w:ind w:firstLine="709" w:left="0"/>
        <w:jc w:val="both"/>
        <w:rPr>
          <w:sz w:val="28"/>
        </w:rPr>
      </w:pPr>
      <w:r>
        <w:rPr>
          <w:sz w:val="28"/>
        </w:rPr>
        <w:t>документы, подтверждающие оснащение транспортного средства системами осуществления безналичной оплаты за проезд;</w:t>
      </w:r>
    </w:p>
    <w:p w14:paraId="19010000">
      <w:pPr>
        <w:ind w:firstLine="709" w:left="0"/>
        <w:jc w:val="both"/>
        <w:rPr>
          <w:sz w:val="28"/>
        </w:rPr>
      </w:pPr>
      <w:r>
        <w:rPr>
          <w:sz w:val="28"/>
        </w:rPr>
        <w:t>документы, подтверждающие наличие в транспортном средстве оборудования для использования газомоторного топлива;</w:t>
      </w:r>
    </w:p>
    <w:p w14:paraId="1A010000">
      <w:pPr>
        <w:ind w:firstLine="709" w:left="0"/>
        <w:jc w:val="both"/>
        <w:rPr>
          <w:sz w:val="28"/>
        </w:rPr>
      </w:pPr>
      <w:r>
        <w:rPr>
          <w:sz w:val="28"/>
        </w:rPr>
        <w:t>документы, подтверждающие наличие в транспортном средстве системы контроля температуры воздуха в салоне;</w:t>
      </w:r>
    </w:p>
    <w:p w14:paraId="1B010000">
      <w:pPr>
        <w:ind w:firstLine="709" w:left="0"/>
        <w:jc w:val="both"/>
        <w:rPr>
          <w:sz w:val="28"/>
        </w:rPr>
      </w:pPr>
      <w:r>
        <w:rPr>
          <w:sz w:val="28"/>
        </w:rPr>
        <w:t>документы, подтверждающие количество посадочных мест в транспортном средстве (для междугородных маршрутов регулярных перевозок);</w:t>
      </w:r>
    </w:p>
    <w:p w14:paraId="1C010000">
      <w:pPr>
        <w:ind w:firstLine="709" w:left="0"/>
        <w:jc w:val="both"/>
        <w:rPr>
          <w:sz w:val="28"/>
        </w:rPr>
      </w:pPr>
      <w:r>
        <w:rPr>
          <w:sz w:val="28"/>
        </w:rPr>
        <w:t>документы, подтверждающие наличие в салоне транспортного средства электронного информационного табло (для пригородных маршрутов регулярных перевозок);</w:t>
      </w:r>
    </w:p>
    <w:p w14:paraId="1D010000">
      <w:pPr>
        <w:ind w:firstLine="709" w:left="0"/>
        <w:jc w:val="both"/>
        <w:rPr>
          <w:sz w:val="28"/>
        </w:rPr>
      </w:pPr>
      <w:r>
        <w:rPr>
          <w:sz w:val="28"/>
        </w:rPr>
        <w:t>документы, подтверждающие наличие в транспортном средстве низкого пола (для пригородных маршрутов регулярных перевозок);</w:t>
      </w:r>
    </w:p>
    <w:p w14:paraId="1E010000">
      <w:pPr>
        <w:ind w:firstLine="709" w:left="0"/>
        <w:jc w:val="both"/>
        <w:rPr>
          <w:sz w:val="28"/>
        </w:rPr>
      </w:pPr>
      <w:r>
        <w:rPr>
          <w:sz w:val="28"/>
        </w:rPr>
        <w:t>документы, подтверждающие общую вместимость транспортного средства (для пригородных маршрутов регулярных перевозок).</w:t>
      </w:r>
    </w:p>
    <w:p w14:paraId="1F010000">
      <w:pPr>
        <w:ind w:firstLine="709" w:left="0"/>
        <w:jc w:val="both"/>
        <w:rPr>
          <w:sz w:val="28"/>
        </w:rPr>
      </w:pPr>
      <w:r>
        <w:rPr>
          <w:sz w:val="28"/>
        </w:rPr>
        <w:t>14.4. Срок предоставления победителем открытого конкурса подтверждающих документов не может превышать семи рабочих дней со дня проведения открытого конкурса (оценки и сопоставления заявок на участие в открытом конкурсе).</w:t>
      </w:r>
    </w:p>
    <w:p w14:paraId="20010000">
      <w:pPr>
        <w:ind w:firstLine="709" w:left="0"/>
        <w:jc w:val="both"/>
        <w:rPr>
          <w:sz w:val="28"/>
        </w:rPr>
      </w:pPr>
      <w:r>
        <w:rPr>
          <w:sz w:val="28"/>
        </w:rPr>
        <w:t xml:space="preserve">14.5. Комиссионный осмотр заявленных транспортных средств (далее - комиссионный осмотр)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w:t>
      </w:r>
      <w:r>
        <w:rPr>
          <w:rStyle w:val="Style_6_ch"/>
          <w:b w:val="0"/>
          <w:color w:val="000000"/>
          <w:sz w:val="28"/>
        </w:rPr>
        <w:t>пунктом 14.3</w:t>
      </w:r>
      <w:r>
        <w:rPr>
          <w:sz w:val="28"/>
        </w:rPr>
        <w:t xml:space="preserve"> Конкурсной документации.</w:t>
      </w:r>
    </w:p>
    <w:p w14:paraId="21010000">
      <w:pPr>
        <w:ind w:firstLine="709" w:left="0"/>
        <w:jc w:val="both"/>
        <w:rPr>
          <w:sz w:val="28"/>
        </w:rPr>
      </w:pPr>
      <w:r>
        <w:rPr>
          <w:sz w:val="28"/>
        </w:rPr>
        <w:t xml:space="preserve">14.6. Срок осуществления комиссионного осмотра не может превышать восьми рабочих дней со дня истечения срока, устанавливаемого для предоставления победителем Открытого конкурса подтверждающей документации в соответствии с </w:t>
      </w:r>
      <w:r>
        <w:rPr>
          <w:rStyle w:val="Style_6_ch"/>
          <w:b w:val="0"/>
          <w:color w:val="000000"/>
          <w:sz w:val="28"/>
        </w:rPr>
        <w:t>пунктом 14.3</w:t>
      </w:r>
      <w:r>
        <w:rPr>
          <w:sz w:val="28"/>
        </w:rPr>
        <w:t xml:space="preserve"> Конкурсной документации. Дата, время и место предоставления на комиссионный осмотр заявленных победителем открытого конкурса транспортных средств определяются Конкурсной документацией.</w:t>
      </w:r>
    </w:p>
    <w:p w14:paraId="22010000">
      <w:pPr>
        <w:ind w:firstLine="709" w:left="0"/>
        <w:jc w:val="both"/>
        <w:rPr>
          <w:sz w:val="28"/>
        </w:rPr>
      </w:pPr>
      <w:r>
        <w:rPr>
          <w:sz w:val="28"/>
        </w:rPr>
        <w:t>14.7. Для осуществления комиссионного осмотра, предоставление транспортных средств, заявленных победителем открытого конкурса, осуществляется своими силами в порядке, определенном Конкурсной документацией.</w:t>
      </w:r>
    </w:p>
    <w:p w14:paraId="23010000">
      <w:pPr>
        <w:ind w:firstLine="709" w:left="0"/>
        <w:jc w:val="both"/>
        <w:rPr>
          <w:sz w:val="28"/>
        </w:rPr>
      </w:pPr>
      <w:r>
        <w:rPr>
          <w:sz w:val="28"/>
        </w:rPr>
        <w:t>14.8. 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14:paraId="24010000">
      <w:pPr>
        <w:ind w:firstLine="709" w:left="0"/>
        <w:jc w:val="both"/>
        <w:rPr>
          <w:sz w:val="28"/>
        </w:rPr>
      </w:pPr>
      <w:r>
        <w:rPr>
          <w:sz w:val="28"/>
        </w:rPr>
        <w:t>14.9. 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 на предоставление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(далее - акт комиссионного осмотра) (</w:t>
      </w:r>
      <w:r>
        <w:rPr>
          <w:rStyle w:val="Style_6_ch"/>
          <w:b w:val="0"/>
          <w:color w:val="000000"/>
          <w:sz w:val="28"/>
        </w:rPr>
        <w:t>приложение № </w:t>
      </w:r>
      <w:r>
        <w:rPr>
          <w:sz w:val="28"/>
        </w:rPr>
        <w:t>7 Положения), 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комиссионного осмотра.</w:t>
      </w:r>
    </w:p>
    <w:p w14:paraId="25010000">
      <w:pPr>
        <w:ind w:firstLine="709" w:left="0"/>
        <w:jc w:val="both"/>
        <w:rPr>
          <w:sz w:val="28"/>
        </w:rPr>
      </w:pPr>
      <w:r>
        <w:rPr>
          <w:sz w:val="28"/>
        </w:rPr>
        <w:t>14.10. Организатор открытого конкурса обязан осуществлять аудио- и (или) видеозапись процедуры проведения комиссионного осмотра.</w:t>
      </w:r>
    </w:p>
    <w:p w14:paraId="26010000">
      <w:pPr>
        <w:ind w:firstLine="709" w:left="0"/>
        <w:jc w:val="both"/>
        <w:rPr>
          <w:sz w:val="28"/>
        </w:rPr>
      </w:pPr>
      <w:r>
        <w:rPr>
          <w:sz w:val="28"/>
        </w:rPr>
        <w:t>14.11.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то предоставление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предоставляется участнику открытого конкурса, заявке на участие в открытом конкурсе которого присвоен второй номер.</w:t>
      </w:r>
    </w:p>
    <w:p w14:paraId="27010000">
      <w:pPr>
        <w:ind w:firstLine="709" w:left="0"/>
        <w:jc w:val="both"/>
        <w:rPr>
          <w:sz w:val="28"/>
        </w:rPr>
      </w:pPr>
      <w:r>
        <w:rPr>
          <w:sz w:val="28"/>
        </w:rPr>
        <w:t>14.12. В течение рабочего дня после дня осуществления комиссионного осмотра, организатор открытого конкурса размещает на информационном портале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предоставление права осуществления перевозок по данному маршруту.</w:t>
      </w:r>
    </w:p>
    <w:p w14:paraId="28010000">
      <w:pPr>
        <w:ind w:firstLine="709" w:left="0"/>
        <w:jc w:val="both"/>
        <w:rPr>
          <w:sz w:val="28"/>
        </w:rPr>
      </w:pPr>
      <w:r>
        <w:rPr>
          <w:sz w:val="28"/>
        </w:rPr>
        <w:t xml:space="preserve">14.13. В случае предоставление права осуществления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заявке на участие в открытом конкурсе которого присвоен второй номер, организатор открытого конкурса обеспечивает размещение информации о датах, времени и месте осуществления мероприятий, предусмотренных </w:t>
      </w:r>
      <w:r>
        <w:rPr>
          <w:rStyle w:val="Style_6_ch"/>
          <w:b w:val="0"/>
          <w:color w:val="000000"/>
          <w:sz w:val="28"/>
        </w:rPr>
        <w:t>пунктами 14.1 - 14.10</w:t>
      </w:r>
      <w:r>
        <w:rPr>
          <w:sz w:val="28"/>
        </w:rPr>
        <w:t xml:space="preserve"> Конкурсной документации на своем информационном портале в течение одного рабочего дня, следующего за днем принятия указанного решения и уведомляет такого участника открытого конкурса о принятом решении по указанному им в соответствующей заявке на участие в открытом конкурсе (</w:t>
      </w:r>
      <w:r>
        <w:rPr>
          <w:rStyle w:val="Style_6_ch"/>
          <w:b w:val="0"/>
          <w:color w:val="000000"/>
          <w:sz w:val="28"/>
        </w:rPr>
        <w:t>приложении № 2</w:t>
      </w:r>
      <w:r>
        <w:rPr>
          <w:sz w:val="28"/>
        </w:rPr>
        <w:t xml:space="preserve"> к конкурсной документации) адресу электронной почты.</w:t>
      </w:r>
    </w:p>
    <w:p w14:paraId="29010000">
      <w:pPr>
        <w:ind w:firstLine="709" w:left="0"/>
        <w:jc w:val="both"/>
        <w:rPr>
          <w:sz w:val="28"/>
        </w:rPr>
      </w:pPr>
      <w:r>
        <w:rPr>
          <w:sz w:val="28"/>
        </w:rPr>
        <w:t xml:space="preserve">14.14. 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w:t>
      </w:r>
      <w:r>
        <w:rPr>
          <w:rStyle w:val="Style_6_ch"/>
          <w:b w:val="0"/>
          <w:color w:val="000000"/>
          <w:sz w:val="28"/>
        </w:rPr>
        <w:t>пунктом 14.11</w:t>
      </w:r>
      <w:r>
        <w:rPr>
          <w:sz w:val="28"/>
        </w:rPr>
        <w:t xml:space="preserve"> предоставлено право осуществления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открытый конкурс в отношении данного маршрута признается несостоявшимся.</w:t>
      </w:r>
    </w:p>
    <w:p w14:paraId="2A010000">
      <w:pPr>
        <w:pStyle w:val="Style_4"/>
        <w:numPr>
          <w:ilvl w:val="0"/>
          <w:numId w:val="0"/>
        </w:numPr>
        <w:ind/>
        <w:jc w:val="both"/>
      </w:pPr>
    </w:p>
    <w:p w14:paraId="2B010000">
      <w:pPr>
        <w:pStyle w:val="Style_4"/>
        <w:numPr>
          <w:ilvl w:val="0"/>
          <w:numId w:val="0"/>
        </w:numPr>
        <w:ind/>
        <w:jc w:val="center"/>
      </w:pPr>
      <w:r>
        <w:t xml:space="preserve">15. Порядок и сроки выдачи свидетельств об осуществлении перевозок по маршруту регулярных перевозок и карты маршрута </w:t>
      </w:r>
    </w:p>
    <w:p w14:paraId="2C010000">
      <w:pPr>
        <w:pStyle w:val="Style_4"/>
        <w:numPr>
          <w:ilvl w:val="0"/>
          <w:numId w:val="0"/>
        </w:numPr>
        <w:ind/>
        <w:jc w:val="center"/>
      </w:pPr>
      <w:r>
        <w:t>регулярных перевозок</w:t>
      </w:r>
    </w:p>
    <w:p w14:paraId="2D010000">
      <w:pPr>
        <w:ind w:firstLine="851" w:left="0"/>
        <w:jc w:val="both"/>
        <w:rPr>
          <w:sz w:val="28"/>
        </w:rPr>
      </w:pPr>
    </w:p>
    <w:p w14:paraId="2E010000">
      <w:pPr>
        <w:ind w:firstLine="709" w:left="0"/>
        <w:jc w:val="both"/>
        <w:rPr>
          <w:sz w:val="28"/>
        </w:rPr>
      </w:pPr>
      <w:r>
        <w:rPr>
          <w:sz w:val="28"/>
        </w:rPr>
        <w:t>15.1. По результатам открытого конкурса победителю открытого конкурса выдаются свидетельство об осуществлении перевозок по маршруту регулярных перевозок и карты маршрута регулярных перевозок. В случае, если открытый конкурс признан несостоявшимся на основании, что только одна заявка на участие в открытом конкурсе признана соответствующей требованиям Конкурсной документации, то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выдаются свидетельство об осуществлении перевозок по маршруту регулярных перевозок и карты маршрута регулярных перевозок.</w:t>
      </w:r>
    </w:p>
    <w:p w14:paraId="2F010000">
      <w:pPr>
        <w:ind w:firstLine="709" w:left="0"/>
        <w:jc w:val="both"/>
        <w:rPr>
          <w:sz w:val="28"/>
        </w:rPr>
      </w:pPr>
      <w:r>
        <w:rPr>
          <w:sz w:val="28"/>
        </w:rPr>
        <w:t xml:space="preserve">15.2.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Pr>
          <w:rStyle w:val="Style_6_ch"/>
          <w:b w:val="0"/>
          <w:color w:val="000000"/>
          <w:sz w:val="28"/>
        </w:rPr>
        <w:t>разделом 14</w:t>
      </w:r>
      <w:r>
        <w:rPr>
          <w:sz w:val="28"/>
        </w:rPr>
        <w:t xml:space="preserve"> Конкурсной документации.</w:t>
      </w:r>
    </w:p>
    <w:p w14:paraId="30010000">
      <w:pPr>
        <w:ind w:firstLine="709" w:left="0"/>
        <w:jc w:val="both"/>
        <w:rPr>
          <w:sz w:val="28"/>
        </w:rPr>
      </w:pPr>
      <w:r>
        <w:rPr>
          <w:sz w:val="28"/>
        </w:rPr>
        <w:t>15.3.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осуществления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информационном портале организатора открытого конкурса не позднее двух рабочих дней со дня принятия победителем открытого конкурса соответствующего решения.</w:t>
      </w:r>
    </w:p>
    <w:p w14:paraId="31010000">
      <w:pPr>
        <w:ind w:firstLine="709" w:left="0"/>
        <w:jc w:val="both"/>
        <w:rPr>
          <w:sz w:val="28"/>
        </w:rPr>
      </w:pPr>
      <w:r>
        <w:rPr>
          <w:sz w:val="28"/>
        </w:rPr>
        <w:t>Если участник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32010000">
      <w:pPr>
        <w:ind w:firstLine="851" w:left="0"/>
        <w:jc w:val="both"/>
        <w:rPr>
          <w:sz w:val="28"/>
        </w:rPr>
      </w:pP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-127635</wp:posOffset>
                </wp:positionH>
                <wp:positionV relativeFrom="paragraph">
                  <wp:posOffset>255905</wp:posOffset>
                </wp:positionV>
                <wp:extent cx="6381750" cy="1028700"/>
                <wp:wrapNone/>
                <wp:docPr hidden="false" id="1" name="Picture 1"/>
                <a:graphic>
                  <a:graphicData uri="http://schemas.microsoft.com/office/word/2010/wordprocessingShape">
                    <wps:wsp>
                      <wps:cNvSpPr txBox="false"/>
                      <wps:spPr>
                        <a:xfrm flipH="false" flipV="false" rot="0">
                          <a:off x="0" y="0"/>
                          <a:ext cx="6381750" cy="102870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33010000">
                            <w:pPr>
                              <w:ind/>
                              <w:jc w:val="both"/>
                              <w:rPr>
                                <w:sz w:val="28"/>
                              </w:rPr>
                            </w:pPr>
                            <w:r>
                              <w:rPr>
                                <w:sz w:val="28"/>
                              </w:rPr>
                              <w:t>Заместитель главы муниципального</w:t>
                            </w:r>
                          </w:p>
                          <w:p w14:paraId="34010000">
                            <w:pPr>
                              <w:ind/>
                              <w:jc w:val="both"/>
                              <w:rPr>
                                <w:sz w:val="28"/>
                              </w:rPr>
                            </w:pPr>
                            <w:r>
                              <w:rPr>
                                <w:sz w:val="28"/>
                              </w:rPr>
                              <w:t xml:space="preserve">образования Отрадненский район </w:t>
                            </w:r>
                          </w:p>
                          <w:p w14:paraId="35010000">
                            <w:pPr>
                              <w:ind/>
                              <w:jc w:val="both"/>
                              <w:rPr>
                                <w:sz w:val="28"/>
                              </w:rPr>
                            </w:pPr>
                            <w:r>
                              <w:rPr>
                                <w:sz w:val="28"/>
                              </w:rPr>
                              <w:t xml:space="preserve">по вопросам строительства </w:t>
                            </w:r>
                          </w:p>
                          <w:p w14:paraId="36010000">
                            <w:pPr>
                              <w:ind/>
                              <w:jc w:val="both"/>
                              <w:rPr>
                                <w:sz w:val="28"/>
                              </w:rPr>
                            </w:pPr>
                            <w:r>
                              <w:rPr>
                                <w:sz w:val="28"/>
                              </w:rPr>
                              <w:t>и жилищно-коммунального хозяйства                                                С.В.Запорожец</w:t>
                            </w:r>
                          </w:p>
                          <w:p w14:paraId="37010000"/>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38010000">
      <w:pPr>
        <w:ind w:firstLine="851" w:left="0"/>
        <w:jc w:val="both"/>
        <w:rPr>
          <w:sz w:val="28"/>
        </w:rPr>
      </w:pPr>
    </w:p>
    <w:p w14:paraId="39010000">
      <w:pPr>
        <w:ind w:firstLine="851" w:left="0"/>
        <w:jc w:val="both"/>
        <w:rPr>
          <w:sz w:val="28"/>
        </w:rPr>
      </w:pPr>
    </w:p>
    <w:p w14:paraId="3A010000">
      <w:pPr>
        <w:sectPr>
          <w:headerReference r:id="rId4" w:type="default"/>
          <w:pgSz w:h="16800" w:orient="portrait" w:w="11900"/>
          <w:pgMar w:bottom="993" w:footer="720" w:gutter="0" w:header="720" w:left="1701" w:right="567" w:top="1134"/>
          <w:pgNumType w:start="1"/>
          <w:titlePg/>
        </w:sectPr>
      </w:pPr>
    </w:p>
    <w:p w14:paraId="3B010000">
      <w:pPr>
        <w:ind w:firstLine="0" w:left="10773"/>
        <w:jc w:val="center"/>
        <w:rPr>
          <w:sz w:val="28"/>
        </w:rPr>
      </w:pPr>
      <w:r>
        <w:rPr>
          <w:sz w:val="28"/>
        </w:rPr>
        <w:t>ПРИЛОЖЕНИЕ №</w:t>
      </w:r>
      <w:r>
        <w:rPr>
          <w:sz w:val="28"/>
        </w:rPr>
        <w:t xml:space="preserve"> </w:t>
      </w:r>
      <w:r>
        <w:rPr>
          <w:sz w:val="28"/>
        </w:rPr>
        <w:t>3</w:t>
      </w:r>
    </w:p>
    <w:p w14:paraId="3C010000">
      <w:pPr>
        <w:ind w:firstLine="0" w:left="10773"/>
        <w:jc w:val="center"/>
        <w:rPr>
          <w:sz w:val="28"/>
        </w:rPr>
      </w:pPr>
    </w:p>
    <w:p w14:paraId="3D010000">
      <w:pPr>
        <w:ind w:firstLine="0" w:left="10773"/>
        <w:jc w:val="center"/>
        <w:rPr>
          <w:sz w:val="28"/>
        </w:rPr>
      </w:pPr>
      <w:r>
        <w:rPr>
          <w:sz w:val="28"/>
        </w:rPr>
        <w:t>УТВЕРЖДЕНЫ</w:t>
      </w:r>
    </w:p>
    <w:p w14:paraId="3E010000">
      <w:pPr>
        <w:ind w:firstLine="0" w:left="10773"/>
        <w:jc w:val="center"/>
        <w:rPr>
          <w:sz w:val="28"/>
        </w:rPr>
      </w:pPr>
      <w:r>
        <w:rPr>
          <w:sz w:val="28"/>
        </w:rPr>
        <w:t>постановлением администрации</w:t>
      </w:r>
    </w:p>
    <w:p w14:paraId="3F010000">
      <w:pPr>
        <w:ind w:firstLine="0" w:left="10773"/>
        <w:jc w:val="center"/>
        <w:rPr>
          <w:sz w:val="28"/>
        </w:rPr>
      </w:pPr>
      <w:r>
        <w:rPr>
          <w:sz w:val="28"/>
        </w:rPr>
        <w:t>муниципального образования</w:t>
      </w:r>
    </w:p>
    <w:p w14:paraId="40010000">
      <w:pPr>
        <w:ind w:firstLine="0" w:left="10773"/>
        <w:jc w:val="center"/>
        <w:rPr>
          <w:sz w:val="28"/>
        </w:rPr>
      </w:pPr>
      <w:r>
        <w:rPr>
          <w:sz w:val="28"/>
        </w:rPr>
        <w:t>Отрадненский район</w:t>
      </w:r>
    </w:p>
    <w:p w14:paraId="41010000">
      <w:pPr>
        <w:ind w:firstLine="0" w:left="10773"/>
        <w:jc w:val="center"/>
        <w:rPr>
          <w:sz w:val="28"/>
        </w:rPr>
      </w:pPr>
      <w:r>
        <w:rPr>
          <w:sz w:val="28"/>
        </w:rPr>
        <w:t xml:space="preserve">от </w:t>
      </w:r>
      <w:r>
        <w:rPr>
          <w:sz w:val="28"/>
          <w:u w:val="single"/>
        </w:rPr>
        <w:t>06.04.2026</w:t>
      </w:r>
      <w:r>
        <w:rPr>
          <w:sz w:val="28"/>
        </w:rPr>
        <w:t xml:space="preserve"> № </w:t>
      </w:r>
      <w:r>
        <w:rPr>
          <w:sz w:val="28"/>
          <w:u w:val="single"/>
        </w:rPr>
        <w:t>174</w:t>
      </w:r>
    </w:p>
    <w:p w14:paraId="42010000">
      <w:pPr>
        <w:ind/>
        <w:jc w:val="center"/>
        <w:rPr>
          <w:sz w:val="28"/>
        </w:rPr>
      </w:pPr>
    </w:p>
    <w:p w14:paraId="43010000">
      <w:pPr>
        <w:ind/>
        <w:jc w:val="center"/>
        <w:rPr>
          <w:sz w:val="28"/>
        </w:rPr>
      </w:pPr>
    </w:p>
    <w:p w14:paraId="44010000">
      <w:pPr>
        <w:ind/>
        <w:jc w:val="center"/>
        <w:rPr>
          <w:sz w:val="28"/>
        </w:rPr>
      </w:pPr>
      <w:r>
        <w:rPr>
          <w:sz w:val="28"/>
        </w:rPr>
        <w:t xml:space="preserve">Основные характеристики и сведения </w:t>
      </w:r>
    </w:p>
    <w:p w14:paraId="45010000">
      <w:pPr>
        <w:ind/>
        <w:jc w:val="center"/>
        <w:rPr>
          <w:sz w:val="28"/>
        </w:rPr>
      </w:pPr>
      <w:r>
        <w:rPr>
          <w:sz w:val="28"/>
        </w:rPr>
        <w:t xml:space="preserve">о предмете открытого конкурса на получение права осуществления перевозок автомобильным транспортом </w:t>
      </w:r>
    </w:p>
    <w:p w14:paraId="46010000">
      <w:pPr>
        <w:ind/>
        <w:jc w:val="center"/>
        <w:rPr>
          <w:sz w:val="28"/>
        </w:rPr>
      </w:pPr>
      <w:r>
        <w:rPr>
          <w:sz w:val="28"/>
        </w:rPr>
        <w:t xml:space="preserve">по одному или нескольким муниципальным маршрутам регулярного сообщения на территории </w:t>
      </w:r>
    </w:p>
    <w:p w14:paraId="47010000">
      <w:pPr>
        <w:ind/>
        <w:jc w:val="center"/>
        <w:rPr>
          <w:sz w:val="28"/>
        </w:rPr>
      </w:pPr>
      <w:r>
        <w:rPr>
          <w:sz w:val="28"/>
        </w:rPr>
        <w:t xml:space="preserve">муниципального образования Отрадненский район </w:t>
      </w:r>
    </w:p>
    <w:p w14:paraId="48010000">
      <w:pPr>
        <w:ind/>
        <w:jc w:val="center"/>
        <w:rPr>
          <w:sz w:val="28"/>
        </w:rPr>
      </w:pPr>
    </w:p>
    <w:tbl>
      <w:tblPr>
        <w:tblStyle w:val="Style_5"/>
        <w:tblW w:type="auto" w:w="0"/>
        <w:tblInd w:type="dxa" w:w="719"/>
        <w:tblLayout w:type="fixed"/>
        <w:tblCellMar>
          <w:left w:type="dxa" w:w="10"/>
          <w:right w:type="dxa" w:w="10"/>
        </w:tblCellMar>
      </w:tblPr>
      <w:tblGrid>
        <w:gridCol w:w="567"/>
        <w:gridCol w:w="878"/>
        <w:gridCol w:w="1590"/>
        <w:gridCol w:w="1168"/>
        <w:gridCol w:w="1112"/>
        <w:gridCol w:w="644"/>
        <w:gridCol w:w="1686"/>
        <w:gridCol w:w="2575"/>
        <w:gridCol w:w="915"/>
        <w:gridCol w:w="1666"/>
        <w:gridCol w:w="1165"/>
        <w:gridCol w:w="849"/>
      </w:tblGrid>
      <w:tr>
        <w:tc>
          <w:tcPr>
            <w:tcW w:type="dxa" w:w="567"/>
            <w:vMerge w:val="restart"/>
            <w:tcBorders>
              <w:top w:color="000000" w:sz="2" w:val="single"/>
              <w:left w:color="000000" w:sz="2" w:val="single"/>
              <w:bottom w:color="000000" w:sz="2" w:val="single"/>
              <w:right w:color="000000" w:sz="2" w:val="single"/>
            </w:tcBorders>
            <w:tcMar>
              <w:left w:type="dxa" w:w="10"/>
              <w:right w:type="dxa" w:w="10"/>
            </w:tcMar>
            <w:vAlign w:val="center"/>
          </w:tcPr>
          <w:p w14:paraId="49010000">
            <w:pPr>
              <w:pStyle w:val="Style_7"/>
              <w:ind w:firstLine="0" w:left="0"/>
              <w:jc w:val="center"/>
            </w:pPr>
            <w:r>
              <w:t>№ лота</w:t>
            </w:r>
          </w:p>
        </w:tc>
        <w:tc>
          <w:tcPr>
            <w:tcW w:type="dxa" w:w="878"/>
            <w:vMerge w:val="restart"/>
            <w:tcBorders>
              <w:top w:color="000000" w:sz="2" w:val="single"/>
              <w:bottom w:color="000000" w:sz="2" w:val="single"/>
              <w:right w:color="000000" w:sz="2" w:val="single"/>
            </w:tcBorders>
            <w:tcMar>
              <w:left w:type="dxa" w:w="10"/>
              <w:right w:type="dxa" w:w="10"/>
            </w:tcMar>
            <w:vAlign w:val="center"/>
          </w:tcPr>
          <w:p w14:paraId="4A010000">
            <w:pPr>
              <w:pStyle w:val="Style_7"/>
              <w:ind w:firstLine="0" w:left="0"/>
              <w:jc w:val="center"/>
            </w:pPr>
            <w:r>
              <w:t>№ в реестре (№ маршрута)</w:t>
            </w:r>
          </w:p>
        </w:tc>
        <w:tc>
          <w:tcPr>
            <w:tcW w:type="dxa" w:w="1590"/>
            <w:vMerge w:val="restart"/>
            <w:tcBorders>
              <w:top w:color="000000" w:sz="2" w:val="single"/>
              <w:bottom w:color="000000" w:sz="2" w:val="single"/>
              <w:right w:color="000000" w:sz="2" w:val="single"/>
            </w:tcBorders>
            <w:tcMar>
              <w:left w:type="dxa" w:w="10"/>
              <w:right w:type="dxa" w:w="10"/>
            </w:tcMar>
            <w:vAlign w:val="center"/>
          </w:tcPr>
          <w:p w14:paraId="4B010000">
            <w:pPr>
              <w:pStyle w:val="Style_7"/>
              <w:ind w:firstLine="0" w:left="0"/>
              <w:jc w:val="center"/>
            </w:pPr>
            <w:r>
              <w:t>Наименование маршрута</w:t>
            </w:r>
          </w:p>
        </w:tc>
        <w:tc>
          <w:tcPr>
            <w:tcW w:type="dxa" w:w="2280"/>
            <w:gridSpan w:val="2"/>
            <w:tcBorders>
              <w:top w:color="000000" w:sz="2" w:val="single"/>
              <w:bottom w:color="000000" w:sz="2" w:val="single"/>
              <w:right w:color="000000" w:sz="2" w:val="single"/>
            </w:tcBorders>
            <w:tcMar>
              <w:left w:type="dxa" w:w="10"/>
              <w:right w:type="dxa" w:w="10"/>
            </w:tcMar>
            <w:vAlign w:val="center"/>
          </w:tcPr>
          <w:p w14:paraId="4C010000">
            <w:pPr>
              <w:pStyle w:val="Style_7"/>
              <w:ind w:firstLine="0" w:left="0"/>
              <w:jc w:val="center"/>
            </w:pPr>
            <w:r>
              <w:t>Предусмотренное расписанием количество рейсов</w:t>
            </w:r>
          </w:p>
          <w:p w14:paraId="4D010000">
            <w:pPr>
              <w:pStyle w:val="Style_7"/>
              <w:ind w:firstLine="0" w:left="0"/>
              <w:jc w:val="center"/>
            </w:pPr>
            <w:r>
              <w:t>в день</w:t>
            </w:r>
          </w:p>
        </w:tc>
        <w:tc>
          <w:tcPr>
            <w:tcW w:type="dxa" w:w="644"/>
            <w:vMerge w:val="restart"/>
            <w:tcBorders>
              <w:top w:color="000000" w:sz="2" w:val="single"/>
              <w:left w:color="000000" w:sz="2" w:val="single"/>
              <w:bottom w:color="000000" w:sz="2" w:val="single"/>
              <w:right w:color="000000" w:sz="2" w:val="single"/>
            </w:tcBorders>
            <w:tcMar>
              <w:left w:type="dxa" w:w="10"/>
              <w:right w:type="dxa" w:w="10"/>
            </w:tcMar>
            <w:textDirection w:val="btLr"/>
            <w:vAlign w:val="center"/>
          </w:tcPr>
          <w:p w14:paraId="4E010000">
            <w:pPr>
              <w:pStyle w:val="Style_7"/>
              <w:ind w:firstLine="0" w:left="113" w:right="113"/>
              <w:jc w:val="center"/>
            </w:pPr>
            <w:r>
              <w:t>Сезонность</w:t>
            </w:r>
          </w:p>
        </w:tc>
        <w:tc>
          <w:tcPr>
            <w:tcW w:type="dxa" w:w="1686"/>
            <w:vMerge w:val="restart"/>
            <w:tcBorders>
              <w:top w:color="000000" w:sz="2" w:val="single"/>
              <w:bottom w:color="000000" w:sz="2" w:val="single"/>
              <w:right w:color="000000" w:sz="2" w:val="single"/>
            </w:tcBorders>
            <w:tcMar>
              <w:left w:type="dxa" w:w="10"/>
              <w:right w:type="dxa" w:w="10"/>
            </w:tcMar>
            <w:vAlign w:val="center"/>
          </w:tcPr>
          <w:p w14:paraId="4F010000">
            <w:pPr>
              <w:pStyle w:val="Style_7"/>
              <w:ind w:firstLine="0" w:left="0"/>
              <w:jc w:val="center"/>
            </w:pPr>
            <w:r>
              <w:t>Промежуточные остановочные пункты</w:t>
            </w:r>
          </w:p>
        </w:tc>
        <w:tc>
          <w:tcPr>
            <w:tcW w:type="dxa" w:w="2575"/>
            <w:vMerge w:val="restart"/>
            <w:tcBorders>
              <w:top w:color="000000" w:sz="2" w:val="single"/>
              <w:bottom w:color="000000" w:sz="2" w:val="single"/>
              <w:right w:color="000000" w:sz="2" w:val="single"/>
            </w:tcBorders>
            <w:tcMar>
              <w:left w:type="dxa" w:w="10"/>
              <w:right w:type="dxa" w:w="10"/>
            </w:tcMar>
            <w:vAlign w:val="center"/>
          </w:tcPr>
          <w:p w14:paraId="50010000">
            <w:pPr>
              <w:pStyle w:val="Style_7"/>
              <w:ind w:firstLine="0" w:left="0"/>
              <w:jc w:val="center"/>
            </w:pPr>
            <w:r>
              <w:t>Улицы, автомобильные дороги, по которым проходит маршрут</w:t>
            </w:r>
          </w:p>
        </w:tc>
        <w:tc>
          <w:tcPr>
            <w:tcW w:type="dxa" w:w="915"/>
            <w:vMerge w:val="restart"/>
            <w:tcBorders>
              <w:top w:color="000000" w:sz="2" w:val="single"/>
              <w:bottom w:color="000000" w:sz="2" w:val="single"/>
              <w:right w:color="000000" w:sz="2" w:val="single"/>
            </w:tcBorders>
            <w:tcMar>
              <w:left w:type="dxa" w:w="10"/>
              <w:right w:type="dxa" w:w="10"/>
            </w:tcMar>
            <w:textDirection w:val="btLr"/>
            <w:vAlign w:val="center"/>
          </w:tcPr>
          <w:p w14:paraId="51010000">
            <w:pPr>
              <w:pStyle w:val="Style_7"/>
              <w:ind w:firstLine="0" w:left="113" w:right="113"/>
              <w:jc w:val="center"/>
            </w:pPr>
            <w:r>
              <w:t>Протяженность маршрута общая, км</w:t>
            </w:r>
          </w:p>
        </w:tc>
        <w:tc>
          <w:tcPr>
            <w:tcW w:type="dxa" w:w="1666"/>
            <w:vMerge w:val="restart"/>
            <w:tcBorders>
              <w:top w:color="000000" w:sz="2" w:val="single"/>
              <w:bottom w:color="000000" w:sz="2" w:val="single"/>
              <w:right w:color="000000" w:sz="2" w:val="single"/>
            </w:tcBorders>
            <w:tcMar>
              <w:left w:type="dxa" w:w="10"/>
              <w:right w:type="dxa" w:w="10"/>
            </w:tcMar>
            <w:vAlign w:val="center"/>
          </w:tcPr>
          <w:p w14:paraId="52010000">
            <w:pPr>
              <w:pStyle w:val="Style_7"/>
              <w:ind w:firstLine="0" w:left="0"/>
              <w:jc w:val="center"/>
            </w:pPr>
            <w:r>
              <w:t>Порядок посадки/</w:t>
            </w:r>
          </w:p>
          <w:p w14:paraId="53010000">
            <w:pPr>
              <w:pStyle w:val="Style_7"/>
              <w:ind w:firstLine="0" w:left="0"/>
              <w:jc w:val="center"/>
            </w:pPr>
            <w:r>
              <w:t>высадки пассажиров</w:t>
            </w:r>
          </w:p>
        </w:tc>
        <w:tc>
          <w:tcPr>
            <w:tcW w:type="dxa" w:w="1165"/>
            <w:vMerge w:val="restart"/>
            <w:tcBorders>
              <w:top w:color="000000" w:sz="2" w:val="single"/>
              <w:bottom w:color="000000" w:sz="2" w:val="single"/>
              <w:right w:color="000000" w:sz="2" w:val="single"/>
            </w:tcBorders>
            <w:tcMar>
              <w:left w:type="dxa" w:w="10"/>
              <w:right w:type="dxa" w:w="10"/>
            </w:tcMar>
            <w:vAlign w:val="center"/>
          </w:tcPr>
          <w:p w14:paraId="54010000">
            <w:pPr>
              <w:pStyle w:val="Style_7"/>
              <w:ind w:firstLine="0" w:left="0"/>
              <w:jc w:val="center"/>
            </w:pPr>
            <w:r>
              <w:t>Вид и класс ТС (максимальное количество ТС)</w:t>
            </w:r>
          </w:p>
        </w:tc>
        <w:tc>
          <w:tcPr>
            <w:tcW w:type="dxa" w:w="849"/>
            <w:vMerge w:val="restart"/>
            <w:tcBorders>
              <w:top w:color="000000" w:sz="2" w:val="single"/>
              <w:bottom w:color="000000" w:sz="2" w:val="single"/>
              <w:right w:color="000000" w:sz="2" w:val="single"/>
            </w:tcBorders>
            <w:tcMar>
              <w:left w:type="dxa" w:w="10"/>
              <w:right w:type="dxa" w:w="10"/>
            </w:tcMar>
            <w:textDirection w:val="btLr"/>
            <w:vAlign w:val="center"/>
          </w:tcPr>
          <w:p w14:paraId="55010000">
            <w:pPr>
              <w:pStyle w:val="Style_7"/>
              <w:ind w:firstLine="0" w:left="113" w:right="113"/>
              <w:jc w:val="center"/>
            </w:pPr>
            <w:r>
              <w:t>Экологические характеристики ТС</w:t>
            </w:r>
          </w:p>
        </w:tc>
      </w:tr>
      <w:tr>
        <w:tc>
          <w:tcPr>
            <w:tcW w:type="dxa" w:w="567"/>
            <w:gridSpan w:val="1"/>
            <w:vMerge w:val="continue"/>
            <w:tcBorders>
              <w:top w:color="000000" w:sz="2" w:val="single"/>
              <w:left w:color="000000" w:sz="2" w:val="single"/>
              <w:bottom w:color="000000" w:sz="2" w:val="single"/>
              <w:right w:color="000000" w:sz="2" w:val="single"/>
            </w:tcBorders>
            <w:tcMar>
              <w:left w:type="dxa" w:w="10"/>
              <w:right w:type="dxa" w:w="10"/>
            </w:tcMar>
            <w:vAlign w:val="center"/>
          </w:tcPr>
          <w:p/>
        </w:tc>
        <w:tc>
          <w:tcPr>
            <w:tcW w:type="dxa" w:w="878"/>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590"/>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168"/>
            <w:tcBorders>
              <w:top w:color="000000" w:sz="2" w:val="single"/>
              <w:bottom w:color="000000" w:sz="2" w:val="single"/>
              <w:right w:color="000000" w:sz="2" w:val="single"/>
            </w:tcBorders>
            <w:tcMar>
              <w:left w:type="dxa" w:w="10"/>
              <w:right w:type="dxa" w:w="10"/>
            </w:tcMar>
          </w:tcPr>
          <w:p w14:paraId="56010000">
            <w:pPr>
              <w:pStyle w:val="Style_7"/>
              <w:ind w:firstLine="0" w:left="0"/>
              <w:jc w:val="center"/>
            </w:pPr>
            <w:r>
              <w:t>прямое направление</w:t>
            </w:r>
          </w:p>
        </w:tc>
        <w:tc>
          <w:tcPr>
            <w:tcW w:type="dxa" w:w="1112"/>
            <w:tcBorders>
              <w:top w:color="000000" w:sz="2" w:val="single"/>
              <w:left w:color="000000" w:sz="2" w:val="single"/>
              <w:bottom w:color="000000" w:sz="2" w:val="single"/>
              <w:right w:color="000000" w:sz="2" w:val="single"/>
            </w:tcBorders>
            <w:tcMar>
              <w:left w:type="dxa" w:w="10"/>
              <w:right w:type="dxa" w:w="10"/>
            </w:tcMar>
          </w:tcPr>
          <w:p w14:paraId="57010000">
            <w:pPr>
              <w:pStyle w:val="Style_7"/>
              <w:ind w:firstLine="0" w:left="0"/>
              <w:jc w:val="center"/>
            </w:pPr>
            <w:r>
              <w:t>обратное направление</w:t>
            </w:r>
          </w:p>
        </w:tc>
        <w:tc>
          <w:tcPr>
            <w:tcW w:type="dxa" w:w="644"/>
            <w:gridSpan w:val="1"/>
            <w:vMerge w:val="continue"/>
            <w:tcBorders>
              <w:top w:color="000000" w:sz="2" w:val="single"/>
              <w:left w:color="000000" w:sz="2" w:val="single"/>
              <w:bottom w:color="000000" w:sz="2" w:val="single"/>
              <w:right w:color="000000" w:sz="2" w:val="single"/>
            </w:tcBorders>
            <w:tcMar>
              <w:left w:type="dxa" w:w="10"/>
              <w:right w:type="dxa" w:w="10"/>
            </w:tcMar>
            <w:textDirection w:val="btLr"/>
            <w:vAlign w:val="center"/>
          </w:tcPr>
          <w:p/>
        </w:tc>
        <w:tc>
          <w:tcPr>
            <w:tcW w:type="dxa" w:w="1686"/>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2575"/>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915"/>
            <w:gridSpan w:val="1"/>
            <w:vMerge w:val="continue"/>
            <w:tcBorders>
              <w:top w:color="000000" w:sz="2" w:val="single"/>
              <w:bottom w:color="000000" w:sz="2" w:val="single"/>
              <w:right w:color="000000" w:sz="2" w:val="single"/>
            </w:tcBorders>
            <w:tcMar>
              <w:left w:type="dxa" w:w="10"/>
              <w:right w:type="dxa" w:w="10"/>
            </w:tcMar>
            <w:textDirection w:val="btLr"/>
            <w:vAlign w:val="center"/>
          </w:tcPr>
          <w:p/>
        </w:tc>
        <w:tc>
          <w:tcPr>
            <w:tcW w:type="dxa" w:w="1666"/>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1165"/>
            <w:gridSpan w:val="1"/>
            <w:vMerge w:val="continue"/>
            <w:tcBorders>
              <w:top w:color="000000" w:sz="2" w:val="single"/>
              <w:bottom w:color="000000" w:sz="2" w:val="single"/>
              <w:right w:color="000000" w:sz="2" w:val="single"/>
            </w:tcBorders>
            <w:tcMar>
              <w:left w:type="dxa" w:w="10"/>
              <w:right w:type="dxa" w:w="10"/>
            </w:tcMar>
            <w:vAlign w:val="center"/>
          </w:tcPr>
          <w:p/>
        </w:tc>
        <w:tc>
          <w:tcPr>
            <w:tcW w:type="dxa" w:w="849"/>
            <w:gridSpan w:val="1"/>
            <w:vMerge w:val="continue"/>
            <w:tcBorders>
              <w:top w:color="000000" w:sz="2" w:val="single"/>
              <w:bottom w:color="000000" w:sz="2" w:val="single"/>
              <w:right w:color="000000" w:sz="2" w:val="single"/>
            </w:tcBorders>
            <w:tcMar>
              <w:left w:type="dxa" w:w="10"/>
              <w:right w:type="dxa" w:w="10"/>
            </w:tcMar>
            <w:textDirection w:val="btLr"/>
            <w:vAlign w:val="center"/>
          </w:tcPr>
          <w:p/>
        </w:tc>
      </w:tr>
      <w:tr>
        <w:tc>
          <w:tcPr>
            <w:tcW w:type="dxa" w:w="567"/>
            <w:tcBorders>
              <w:left w:color="000000" w:sz="2" w:val="single"/>
              <w:bottom w:color="000000" w:sz="2" w:val="single"/>
              <w:right w:color="000000" w:sz="2" w:val="single"/>
            </w:tcBorders>
            <w:tcMar>
              <w:left w:type="dxa" w:w="10"/>
              <w:right w:type="dxa" w:w="10"/>
            </w:tcMar>
          </w:tcPr>
          <w:p w14:paraId="58010000">
            <w:pPr>
              <w:pStyle w:val="Style_7"/>
              <w:ind w:firstLine="0" w:left="0"/>
              <w:jc w:val="center"/>
            </w:pPr>
            <w:r>
              <w:t>1</w:t>
            </w:r>
          </w:p>
        </w:tc>
        <w:tc>
          <w:tcPr>
            <w:tcW w:type="dxa" w:w="878"/>
            <w:tcBorders>
              <w:bottom w:color="000000" w:sz="2" w:val="single"/>
              <w:right w:color="000000" w:sz="2" w:val="single"/>
            </w:tcBorders>
            <w:tcMar>
              <w:left w:type="dxa" w:w="10"/>
              <w:right w:type="dxa" w:w="10"/>
            </w:tcMar>
          </w:tcPr>
          <w:p w14:paraId="59010000">
            <w:pPr>
              <w:pStyle w:val="Style_7"/>
              <w:ind w:firstLine="0" w:left="0"/>
              <w:jc w:val="center"/>
            </w:pPr>
            <w:r>
              <w:t>2</w:t>
            </w:r>
          </w:p>
        </w:tc>
        <w:tc>
          <w:tcPr>
            <w:tcW w:type="dxa" w:w="1590"/>
            <w:tcBorders>
              <w:bottom w:color="000000" w:sz="2" w:val="single"/>
              <w:right w:color="000000" w:sz="2" w:val="single"/>
            </w:tcBorders>
            <w:tcMar>
              <w:left w:type="dxa" w:w="10"/>
              <w:right w:type="dxa" w:w="10"/>
            </w:tcMar>
          </w:tcPr>
          <w:p w14:paraId="5A010000">
            <w:pPr>
              <w:pStyle w:val="Style_7"/>
              <w:ind w:firstLine="0" w:left="0"/>
              <w:jc w:val="center"/>
            </w:pPr>
            <w:r>
              <w:t>3</w:t>
            </w:r>
          </w:p>
        </w:tc>
        <w:tc>
          <w:tcPr>
            <w:tcW w:type="dxa" w:w="1168"/>
            <w:tcBorders>
              <w:top w:color="000000" w:sz="2" w:val="single"/>
              <w:bottom w:color="000000" w:sz="2" w:val="single"/>
              <w:right w:color="000000" w:sz="2" w:val="single"/>
            </w:tcBorders>
            <w:tcMar>
              <w:left w:type="dxa" w:w="10"/>
              <w:right w:type="dxa" w:w="10"/>
            </w:tcMar>
          </w:tcPr>
          <w:p w14:paraId="5B010000">
            <w:pPr>
              <w:pStyle w:val="Style_7"/>
              <w:ind w:firstLine="0" w:left="0"/>
              <w:jc w:val="center"/>
            </w:pPr>
          </w:p>
        </w:tc>
        <w:tc>
          <w:tcPr>
            <w:tcW w:type="dxa" w:w="1112"/>
            <w:tcBorders>
              <w:top w:color="000000" w:sz="2" w:val="single"/>
              <w:left w:color="000000" w:sz="2" w:val="single"/>
              <w:bottom w:color="000000" w:sz="2" w:val="single"/>
              <w:right w:color="000000" w:sz="2" w:val="single"/>
            </w:tcBorders>
            <w:tcMar>
              <w:left w:type="dxa" w:w="10"/>
              <w:right w:type="dxa" w:w="10"/>
            </w:tcMar>
          </w:tcPr>
          <w:p w14:paraId="5C010000">
            <w:pPr>
              <w:pStyle w:val="Style_7"/>
              <w:ind w:firstLine="0" w:left="0"/>
              <w:jc w:val="center"/>
            </w:pPr>
          </w:p>
        </w:tc>
        <w:tc>
          <w:tcPr>
            <w:tcW w:type="dxa" w:w="644"/>
            <w:tcBorders>
              <w:top w:color="000000" w:sz="2" w:val="single"/>
              <w:left w:color="000000" w:sz="2" w:val="single"/>
              <w:bottom w:color="000000" w:sz="2" w:val="single"/>
              <w:right w:color="000000" w:sz="2" w:val="single"/>
            </w:tcBorders>
            <w:tcMar>
              <w:left w:type="dxa" w:w="10"/>
              <w:right w:type="dxa" w:w="10"/>
            </w:tcMar>
          </w:tcPr>
          <w:p w14:paraId="5D010000">
            <w:pPr>
              <w:pStyle w:val="Style_7"/>
              <w:ind w:firstLine="0" w:left="0"/>
              <w:jc w:val="center"/>
            </w:pPr>
            <w:r>
              <w:t>5</w:t>
            </w:r>
          </w:p>
        </w:tc>
        <w:tc>
          <w:tcPr>
            <w:tcW w:type="dxa" w:w="1686"/>
            <w:tcBorders>
              <w:bottom w:color="000000" w:sz="2" w:val="single"/>
              <w:right w:color="000000" w:sz="2" w:val="single"/>
            </w:tcBorders>
            <w:tcMar>
              <w:left w:type="dxa" w:w="10"/>
              <w:right w:type="dxa" w:w="10"/>
            </w:tcMar>
          </w:tcPr>
          <w:p w14:paraId="5E010000">
            <w:pPr>
              <w:pStyle w:val="Style_7"/>
              <w:ind w:firstLine="0" w:left="0"/>
              <w:jc w:val="center"/>
            </w:pPr>
            <w:r>
              <w:t>6</w:t>
            </w:r>
          </w:p>
        </w:tc>
        <w:tc>
          <w:tcPr>
            <w:tcW w:type="dxa" w:w="2575"/>
            <w:tcBorders>
              <w:bottom w:color="000000" w:sz="2" w:val="single"/>
              <w:right w:color="000000" w:sz="2" w:val="single"/>
            </w:tcBorders>
            <w:tcMar>
              <w:left w:type="dxa" w:w="10"/>
              <w:right w:type="dxa" w:w="10"/>
            </w:tcMar>
          </w:tcPr>
          <w:p w14:paraId="5F010000">
            <w:pPr>
              <w:pStyle w:val="Style_7"/>
              <w:ind w:firstLine="0" w:left="0"/>
              <w:jc w:val="center"/>
            </w:pPr>
            <w:r>
              <w:t>7</w:t>
            </w:r>
          </w:p>
        </w:tc>
        <w:tc>
          <w:tcPr>
            <w:tcW w:type="dxa" w:w="915"/>
            <w:tcBorders>
              <w:bottom w:color="000000" w:sz="2" w:val="single"/>
              <w:right w:color="000000" w:sz="2" w:val="single"/>
            </w:tcBorders>
            <w:tcMar>
              <w:left w:type="dxa" w:w="10"/>
              <w:right w:type="dxa" w:w="10"/>
            </w:tcMar>
          </w:tcPr>
          <w:p w14:paraId="60010000">
            <w:pPr>
              <w:pStyle w:val="Style_7"/>
              <w:ind w:firstLine="0" w:left="0"/>
              <w:jc w:val="center"/>
            </w:pPr>
            <w:r>
              <w:t>8</w:t>
            </w:r>
          </w:p>
        </w:tc>
        <w:tc>
          <w:tcPr>
            <w:tcW w:type="dxa" w:w="1666"/>
            <w:tcBorders>
              <w:bottom w:color="000000" w:sz="2" w:val="single"/>
              <w:right w:color="000000" w:sz="2" w:val="single"/>
            </w:tcBorders>
            <w:tcMar>
              <w:left w:type="dxa" w:w="10"/>
              <w:right w:type="dxa" w:w="10"/>
            </w:tcMar>
          </w:tcPr>
          <w:p w14:paraId="61010000">
            <w:pPr>
              <w:pStyle w:val="Style_7"/>
              <w:ind w:firstLine="0" w:left="0"/>
              <w:jc w:val="center"/>
            </w:pPr>
            <w:r>
              <w:t>9</w:t>
            </w:r>
          </w:p>
        </w:tc>
        <w:tc>
          <w:tcPr>
            <w:tcW w:type="dxa" w:w="1165"/>
            <w:tcBorders>
              <w:bottom w:color="000000" w:sz="2" w:val="single"/>
              <w:right w:color="000000" w:sz="2" w:val="single"/>
            </w:tcBorders>
            <w:tcMar>
              <w:left w:type="dxa" w:w="10"/>
              <w:right w:type="dxa" w:w="10"/>
            </w:tcMar>
          </w:tcPr>
          <w:p w14:paraId="62010000">
            <w:pPr>
              <w:pStyle w:val="Style_7"/>
              <w:ind w:firstLine="0" w:left="0"/>
              <w:jc w:val="center"/>
            </w:pPr>
            <w:r>
              <w:t>10</w:t>
            </w:r>
          </w:p>
        </w:tc>
        <w:tc>
          <w:tcPr>
            <w:tcW w:type="dxa" w:w="849"/>
            <w:tcBorders>
              <w:bottom w:color="000000" w:sz="2" w:val="single"/>
              <w:right w:color="000000" w:sz="2" w:val="single"/>
            </w:tcBorders>
            <w:tcMar>
              <w:left w:type="dxa" w:w="10"/>
              <w:right w:type="dxa" w:w="10"/>
            </w:tcMar>
          </w:tcPr>
          <w:p w14:paraId="63010000">
            <w:pPr>
              <w:pStyle w:val="Style_7"/>
              <w:ind w:firstLine="0" w:left="0"/>
              <w:jc w:val="center"/>
            </w:pPr>
            <w:r>
              <w:t>11</w:t>
            </w:r>
          </w:p>
        </w:tc>
      </w:tr>
      <w:tr>
        <w:tc>
          <w:tcPr>
            <w:tcW w:type="dxa" w:w="567"/>
            <w:tcBorders>
              <w:top w:color="000000" w:sz="2" w:val="single"/>
              <w:left w:color="000000" w:sz="2" w:val="single"/>
              <w:bottom w:color="000000" w:sz="2" w:val="single"/>
              <w:right w:color="000000" w:sz="2" w:val="single"/>
            </w:tcBorders>
            <w:tcMar>
              <w:left w:type="dxa" w:w="10"/>
              <w:right w:type="dxa" w:w="10"/>
            </w:tcMar>
          </w:tcPr>
          <w:p w14:paraId="64010000">
            <w:pPr>
              <w:pStyle w:val="Style_7"/>
              <w:ind w:firstLine="0" w:left="0"/>
              <w:jc w:val="center"/>
            </w:pPr>
            <w:r>
              <w:t>1</w:t>
            </w:r>
          </w:p>
        </w:tc>
        <w:tc>
          <w:tcPr>
            <w:tcW w:type="dxa" w:w="878"/>
            <w:tcBorders>
              <w:top w:color="000000" w:sz="2" w:val="single"/>
              <w:bottom w:color="000000" w:sz="2" w:val="single"/>
              <w:right w:color="000000" w:sz="2" w:val="single"/>
            </w:tcBorders>
            <w:tcMar>
              <w:left w:type="dxa" w:w="10"/>
              <w:right w:type="dxa" w:w="10"/>
            </w:tcMar>
          </w:tcPr>
          <w:p w14:paraId="65010000">
            <w:pPr>
              <w:pStyle w:val="Style_7"/>
              <w:ind w:firstLine="0" w:left="0"/>
              <w:jc w:val="center"/>
            </w:pPr>
            <w:r>
              <w:t xml:space="preserve">18 </w:t>
            </w:r>
          </w:p>
          <w:p w14:paraId="66010000">
            <w:pPr>
              <w:pStyle w:val="Style_7"/>
              <w:ind w:firstLine="0" w:left="0"/>
              <w:jc w:val="center"/>
            </w:pPr>
            <w:r>
              <w:t>(134/1)</w:t>
            </w:r>
          </w:p>
        </w:tc>
        <w:tc>
          <w:tcPr>
            <w:tcW w:type="dxa" w:w="1590"/>
            <w:tcBorders>
              <w:top w:color="000000" w:sz="2" w:val="single"/>
              <w:bottom w:color="000000" w:sz="2" w:val="single"/>
              <w:right w:color="000000" w:sz="2" w:val="single"/>
            </w:tcBorders>
            <w:tcMar>
              <w:left w:type="dxa" w:w="10"/>
              <w:right w:type="dxa" w:w="10"/>
            </w:tcMar>
          </w:tcPr>
          <w:p w14:paraId="67010000">
            <w:pPr>
              <w:pStyle w:val="Style_7"/>
              <w:ind w:firstLine="0" w:left="0"/>
              <w:jc w:val="center"/>
            </w:pPr>
            <w:r>
              <w:t>Отрадная - Кубрань</w:t>
            </w:r>
          </w:p>
        </w:tc>
        <w:tc>
          <w:tcPr>
            <w:tcW w:type="dxa" w:w="1168"/>
            <w:tcBorders>
              <w:top w:color="000000" w:sz="2" w:val="single"/>
              <w:bottom w:color="000000" w:sz="2" w:val="single"/>
              <w:right w:color="000000" w:sz="2" w:val="single"/>
            </w:tcBorders>
            <w:tcMar>
              <w:left w:type="dxa" w:w="10"/>
              <w:right w:type="dxa" w:w="10"/>
            </w:tcMar>
          </w:tcPr>
          <w:p w14:paraId="68010000">
            <w:pPr>
              <w:pStyle w:val="Style_7"/>
              <w:ind w:firstLine="0" w:left="0"/>
              <w:jc w:val="center"/>
            </w:pPr>
            <w:r>
              <w:t>1</w:t>
            </w:r>
          </w:p>
        </w:tc>
        <w:tc>
          <w:tcPr>
            <w:tcW w:type="dxa" w:w="1112"/>
            <w:tcBorders>
              <w:top w:color="000000" w:sz="2" w:val="single"/>
              <w:left w:color="000000" w:sz="2" w:val="single"/>
              <w:bottom w:color="000000" w:sz="2" w:val="single"/>
              <w:right w:color="000000" w:sz="2" w:val="single"/>
            </w:tcBorders>
            <w:tcMar>
              <w:left w:type="dxa" w:w="10"/>
              <w:right w:type="dxa" w:w="10"/>
            </w:tcMar>
          </w:tcPr>
          <w:p w14:paraId="69010000">
            <w:pPr>
              <w:pStyle w:val="Style_7"/>
              <w:ind w:firstLine="0" w:left="0"/>
              <w:jc w:val="center"/>
            </w:pPr>
            <w:r>
              <w:t>1</w:t>
            </w:r>
          </w:p>
        </w:tc>
        <w:tc>
          <w:tcPr>
            <w:tcW w:type="dxa" w:w="644"/>
            <w:tcBorders>
              <w:top w:color="000000" w:sz="2" w:val="single"/>
              <w:left w:color="000000" w:sz="2" w:val="single"/>
              <w:bottom w:color="000000" w:sz="2" w:val="single"/>
              <w:right w:color="000000" w:sz="2" w:val="single"/>
            </w:tcBorders>
            <w:tcMar>
              <w:left w:type="dxa" w:w="10"/>
              <w:right w:type="dxa" w:w="10"/>
            </w:tcMar>
            <w:textDirection w:val="btLr"/>
          </w:tcPr>
          <w:p w14:paraId="6A010000">
            <w:pPr>
              <w:pStyle w:val="Style_7"/>
              <w:ind w:firstLine="0" w:left="0"/>
              <w:jc w:val="center"/>
            </w:pPr>
            <w:r>
              <w:t xml:space="preserve">Постоянный </w:t>
            </w:r>
          </w:p>
          <w:p w14:paraId="6B010000">
            <w:pPr>
              <w:pStyle w:val="Style_7"/>
              <w:ind w:firstLine="0" w:left="0"/>
              <w:jc w:val="center"/>
            </w:pPr>
            <w:r>
              <w:t>(пн-вс)</w:t>
            </w:r>
          </w:p>
        </w:tc>
        <w:tc>
          <w:tcPr>
            <w:tcW w:type="dxa" w:w="1686"/>
            <w:tcBorders>
              <w:top w:color="000000" w:sz="2" w:val="single"/>
              <w:bottom w:color="000000" w:sz="2" w:val="single"/>
              <w:right w:color="000000" w:sz="2" w:val="single"/>
            </w:tcBorders>
            <w:tcMar>
              <w:left w:type="dxa" w:w="10"/>
              <w:right w:type="dxa" w:w="10"/>
            </w:tcMar>
          </w:tcPr>
          <w:p w14:paraId="6C010000">
            <w:pPr>
              <w:pStyle w:val="Style_7"/>
              <w:ind w:firstLine="0" w:left="0"/>
              <w:jc w:val="center"/>
            </w:pPr>
            <w:r>
              <w:t>с. Благодарное, х. Чайкин, с. Петровское</w:t>
            </w:r>
          </w:p>
        </w:tc>
        <w:tc>
          <w:tcPr>
            <w:tcW w:type="dxa" w:w="2575"/>
            <w:tcBorders>
              <w:top w:color="000000" w:sz="2" w:val="single"/>
              <w:bottom w:color="000000" w:sz="2" w:val="single"/>
              <w:right w:color="000000" w:sz="2" w:val="single"/>
            </w:tcBorders>
            <w:tcMar>
              <w:left w:type="dxa" w:w="10"/>
              <w:right w:type="dxa" w:w="10"/>
            </w:tcMar>
          </w:tcPr>
          <w:p w14:paraId="6D010000">
            <w:pPr>
              <w:pStyle w:val="Style_7"/>
              <w:ind w:firstLine="0" w:left="0"/>
              <w:jc w:val="center"/>
            </w:pPr>
            <w:r>
              <w:t>ст.Отрадная: ул. Широкая, ул. Первомайская, ул. Фрунзе, ул. Балахонова, с. Благодарное: ул. Школьная, х. Чайкин, с. Петровское: ул. Ленина, х. Кубрань: ул. Красная</w:t>
            </w:r>
          </w:p>
        </w:tc>
        <w:tc>
          <w:tcPr>
            <w:tcW w:type="dxa" w:w="915"/>
            <w:tcBorders>
              <w:top w:color="000000" w:sz="2" w:val="single"/>
              <w:bottom w:color="000000" w:sz="2" w:val="single"/>
              <w:right w:color="000000" w:sz="2" w:val="single"/>
            </w:tcBorders>
            <w:tcMar>
              <w:left w:type="dxa" w:w="10"/>
              <w:right w:type="dxa" w:w="10"/>
            </w:tcMar>
          </w:tcPr>
          <w:p w14:paraId="6E010000">
            <w:pPr>
              <w:pStyle w:val="Style_7"/>
              <w:ind w:firstLine="0" w:left="0"/>
              <w:jc w:val="center"/>
            </w:pPr>
            <w:r>
              <w:t>38</w:t>
            </w:r>
          </w:p>
        </w:tc>
        <w:tc>
          <w:tcPr>
            <w:tcW w:type="dxa" w:w="1666"/>
            <w:tcBorders>
              <w:top w:color="000000" w:sz="2" w:val="single"/>
              <w:bottom w:color="000000" w:sz="2" w:val="single"/>
              <w:right w:color="000000" w:sz="2" w:val="single"/>
            </w:tcBorders>
            <w:tcMar>
              <w:left w:type="dxa" w:w="10"/>
              <w:right w:type="dxa" w:w="10"/>
            </w:tcMar>
          </w:tcPr>
          <w:p w14:paraId="6F010000">
            <w:pPr>
              <w:pStyle w:val="Style_7"/>
              <w:ind w:firstLine="0" w:left="0"/>
              <w:jc w:val="center"/>
            </w:pPr>
            <w:r>
              <w:t>Только в установленных остановочных пунктах</w:t>
            </w:r>
          </w:p>
        </w:tc>
        <w:tc>
          <w:tcPr>
            <w:tcW w:type="dxa" w:w="1165"/>
            <w:tcBorders>
              <w:top w:color="000000" w:sz="2" w:val="single"/>
              <w:bottom w:color="000000" w:sz="2" w:val="single"/>
              <w:right w:color="000000" w:sz="2" w:val="single"/>
            </w:tcBorders>
            <w:tcMar>
              <w:left w:type="dxa" w:w="10"/>
              <w:right w:type="dxa" w:w="10"/>
            </w:tcMar>
          </w:tcPr>
          <w:p w14:paraId="70010000">
            <w:pPr>
              <w:pStyle w:val="Style_7"/>
              <w:ind w:firstLine="0" w:left="0"/>
              <w:jc w:val="center"/>
            </w:pPr>
            <w:r>
              <w:t>Автобус, малый класс (1)</w:t>
            </w:r>
          </w:p>
        </w:tc>
        <w:tc>
          <w:tcPr>
            <w:tcW w:type="dxa" w:w="849"/>
            <w:tcBorders>
              <w:top w:color="000000" w:sz="2" w:val="single"/>
              <w:bottom w:color="000000" w:sz="2" w:val="single"/>
              <w:right w:color="000000" w:sz="2" w:val="single"/>
            </w:tcBorders>
            <w:tcMar>
              <w:left w:type="dxa" w:w="10"/>
              <w:right w:type="dxa" w:w="10"/>
            </w:tcMar>
          </w:tcPr>
          <w:p w14:paraId="71010000">
            <w:pPr>
              <w:pStyle w:val="Style_7"/>
              <w:ind w:firstLine="0" w:left="0"/>
              <w:jc w:val="center"/>
            </w:pPr>
          </w:p>
        </w:tc>
      </w:tr>
      <w:tr>
        <w:tc>
          <w:tcPr>
            <w:tcW w:type="dxa" w:w="567"/>
            <w:tcBorders>
              <w:top w:color="000000" w:sz="2" w:val="single"/>
              <w:left w:color="000000" w:sz="2" w:val="single"/>
              <w:bottom w:color="000000" w:sz="2" w:val="single"/>
              <w:right w:color="000000" w:sz="2" w:val="single"/>
            </w:tcBorders>
            <w:tcMar>
              <w:top w:type="dxa" w:w="0"/>
              <w:left w:type="dxa" w:w="10"/>
              <w:bottom w:type="dxa" w:w="0"/>
              <w:right w:type="dxa" w:w="10"/>
            </w:tcMar>
          </w:tcPr>
          <w:p w14:paraId="72010000">
            <w:pPr>
              <w:pStyle w:val="Style_7"/>
              <w:ind w:firstLine="0" w:left="0"/>
              <w:jc w:val="center"/>
            </w:pPr>
            <w:r>
              <w:t>2</w:t>
            </w:r>
          </w:p>
        </w:tc>
        <w:tc>
          <w:tcPr>
            <w:tcW w:type="dxa" w:w="878"/>
            <w:tcBorders>
              <w:top w:color="000000" w:sz="2" w:val="single"/>
              <w:bottom w:color="000000" w:sz="2" w:val="single"/>
              <w:right w:color="000000" w:sz="2" w:val="single"/>
            </w:tcBorders>
            <w:tcMar>
              <w:top w:type="dxa" w:w="0"/>
              <w:left w:type="dxa" w:w="10"/>
              <w:bottom w:type="dxa" w:w="0"/>
              <w:right w:type="dxa" w:w="10"/>
            </w:tcMar>
          </w:tcPr>
          <w:p w14:paraId="73010000">
            <w:pPr>
              <w:pStyle w:val="Style_7"/>
              <w:ind w:firstLine="0" w:left="0"/>
              <w:jc w:val="center"/>
            </w:pPr>
            <w:r>
              <w:t xml:space="preserve">19 </w:t>
            </w:r>
          </w:p>
          <w:p w14:paraId="74010000">
            <w:pPr>
              <w:pStyle w:val="Style_7"/>
              <w:ind w:firstLine="0" w:left="0"/>
              <w:jc w:val="center"/>
            </w:pPr>
            <w:r>
              <w:t>(134/3)</w:t>
            </w:r>
          </w:p>
        </w:tc>
        <w:tc>
          <w:tcPr>
            <w:tcW w:type="dxa" w:w="1590"/>
            <w:tcBorders>
              <w:top w:color="000000" w:sz="2" w:val="single"/>
              <w:bottom w:color="000000" w:sz="2" w:val="single"/>
              <w:right w:color="000000" w:sz="2" w:val="single"/>
            </w:tcBorders>
            <w:tcMar>
              <w:top w:type="dxa" w:w="0"/>
              <w:left w:type="dxa" w:w="10"/>
              <w:bottom w:type="dxa" w:w="0"/>
              <w:right w:type="dxa" w:w="10"/>
            </w:tcMar>
          </w:tcPr>
          <w:p w14:paraId="75010000">
            <w:pPr>
              <w:pStyle w:val="Style_7"/>
              <w:ind w:firstLine="0" w:left="0"/>
              <w:jc w:val="center"/>
            </w:pPr>
            <w:r>
              <w:t>Отрадная - Кубрань</w:t>
            </w:r>
          </w:p>
        </w:tc>
        <w:tc>
          <w:tcPr>
            <w:tcW w:type="dxa" w:w="1168"/>
            <w:tcBorders>
              <w:top w:color="000000" w:sz="2" w:val="single"/>
              <w:bottom w:color="000000" w:sz="2" w:val="single"/>
              <w:right w:color="000000" w:sz="2" w:val="single"/>
            </w:tcBorders>
            <w:tcMar>
              <w:top w:type="dxa" w:w="0"/>
              <w:left w:type="dxa" w:w="10"/>
              <w:bottom w:type="dxa" w:w="0"/>
              <w:right w:type="dxa" w:w="10"/>
            </w:tcMar>
          </w:tcPr>
          <w:p w14:paraId="76010000">
            <w:pPr>
              <w:pStyle w:val="Style_7"/>
              <w:ind w:firstLine="0" w:left="0"/>
              <w:jc w:val="center"/>
            </w:pPr>
            <w:r>
              <w:t>6</w:t>
            </w:r>
          </w:p>
        </w:tc>
        <w:tc>
          <w:tcPr>
            <w:tcW w:type="dxa" w:w="1112"/>
            <w:tcBorders>
              <w:top w:color="000000" w:sz="2" w:val="single"/>
              <w:left w:color="000000" w:sz="2" w:val="single"/>
              <w:bottom w:color="000000" w:sz="2" w:val="single"/>
              <w:right w:color="000000" w:sz="2" w:val="single"/>
            </w:tcBorders>
            <w:tcMar>
              <w:top w:type="dxa" w:w="0"/>
              <w:left w:type="dxa" w:w="10"/>
              <w:bottom w:type="dxa" w:w="0"/>
              <w:right w:type="dxa" w:w="10"/>
            </w:tcMar>
          </w:tcPr>
          <w:p w14:paraId="77010000">
            <w:pPr>
              <w:pStyle w:val="Style_7"/>
              <w:ind w:firstLine="0" w:left="0"/>
              <w:jc w:val="center"/>
            </w:pPr>
            <w:r>
              <w:t>6</w:t>
            </w:r>
          </w:p>
        </w:tc>
        <w:tc>
          <w:tcPr>
            <w:tcW w:type="dxa" w:w="644"/>
            <w:tcBorders>
              <w:top w:color="000000" w:sz="2" w:val="single"/>
              <w:left w:color="000000" w:sz="2" w:val="single"/>
              <w:bottom w:color="000000" w:sz="2" w:val="single"/>
              <w:right w:color="000000" w:sz="2" w:val="single"/>
            </w:tcBorders>
            <w:tcMar>
              <w:top w:type="dxa" w:w="0"/>
              <w:left w:type="dxa" w:w="10"/>
              <w:bottom w:type="dxa" w:w="0"/>
              <w:right w:type="dxa" w:w="10"/>
            </w:tcMar>
            <w:textDirection w:val="btLr"/>
          </w:tcPr>
          <w:p w14:paraId="78010000">
            <w:pPr>
              <w:pStyle w:val="Style_7"/>
              <w:ind w:firstLine="0" w:left="0"/>
              <w:jc w:val="center"/>
            </w:pPr>
            <w:r>
              <w:t>Постоянный (пн-вс)</w:t>
            </w:r>
          </w:p>
        </w:tc>
        <w:tc>
          <w:tcPr>
            <w:tcW w:type="dxa" w:w="1686"/>
            <w:tcBorders>
              <w:top w:color="000000" w:sz="2" w:val="single"/>
              <w:bottom w:color="000000" w:sz="2" w:val="single"/>
              <w:right w:color="000000" w:sz="2" w:val="single"/>
            </w:tcBorders>
            <w:tcMar>
              <w:top w:type="dxa" w:w="0"/>
              <w:left w:type="dxa" w:w="10"/>
              <w:bottom w:type="dxa" w:w="0"/>
              <w:right w:type="dxa" w:w="10"/>
            </w:tcMar>
          </w:tcPr>
          <w:p w14:paraId="79010000">
            <w:pPr>
              <w:pStyle w:val="Style_7"/>
              <w:ind w:firstLine="0" w:left="0"/>
              <w:jc w:val="center"/>
            </w:pPr>
            <w:r>
              <w:t>с. Благодарное, х. Чайкин, с. Петровское</w:t>
            </w:r>
          </w:p>
        </w:tc>
        <w:tc>
          <w:tcPr>
            <w:tcW w:type="dxa" w:w="2575"/>
            <w:tcBorders>
              <w:top w:color="000000" w:sz="2" w:val="single"/>
              <w:bottom w:color="000000" w:sz="2" w:val="single"/>
              <w:right w:color="000000" w:sz="2" w:val="single"/>
            </w:tcBorders>
            <w:tcMar>
              <w:top w:type="dxa" w:w="0"/>
              <w:left w:type="dxa" w:w="10"/>
              <w:bottom w:type="dxa" w:w="0"/>
              <w:right w:type="dxa" w:w="10"/>
            </w:tcMar>
          </w:tcPr>
          <w:p w14:paraId="7A010000">
            <w:pPr>
              <w:pStyle w:val="Style_7"/>
              <w:ind w:firstLine="0" w:left="0"/>
              <w:jc w:val="center"/>
            </w:pPr>
            <w:r>
              <w:t>ст.Отрадная: ул. Широкая, ул. Первомайская, ул. Фрунзе, ул. Балахонова, с. Благодарное: ул. Школьная, х. Чайкин, с. Петровское: ул. Ленина, х. Кубрань: ул. Красная</w:t>
            </w:r>
          </w:p>
        </w:tc>
        <w:tc>
          <w:tcPr>
            <w:tcW w:type="dxa" w:w="915"/>
            <w:tcBorders>
              <w:top w:color="000000" w:sz="2" w:val="single"/>
              <w:bottom w:color="000000" w:sz="2" w:val="single"/>
              <w:right w:color="000000" w:sz="2" w:val="single"/>
            </w:tcBorders>
            <w:tcMar>
              <w:top w:type="dxa" w:w="0"/>
              <w:left w:type="dxa" w:w="10"/>
              <w:bottom w:type="dxa" w:w="0"/>
              <w:right w:type="dxa" w:w="10"/>
            </w:tcMar>
          </w:tcPr>
          <w:p w14:paraId="7B010000">
            <w:pPr>
              <w:pStyle w:val="Style_7"/>
              <w:ind w:firstLine="0" w:left="0"/>
              <w:jc w:val="center"/>
            </w:pPr>
            <w:r>
              <w:t>38</w:t>
            </w:r>
          </w:p>
        </w:tc>
        <w:tc>
          <w:tcPr>
            <w:tcW w:type="dxa" w:w="1666"/>
            <w:tcBorders>
              <w:top w:color="000000" w:sz="2" w:val="single"/>
              <w:bottom w:color="000000" w:sz="2" w:val="single"/>
              <w:right w:color="000000" w:sz="2" w:val="single"/>
            </w:tcBorders>
            <w:tcMar>
              <w:top w:type="dxa" w:w="0"/>
              <w:left w:type="dxa" w:w="10"/>
              <w:bottom w:type="dxa" w:w="0"/>
              <w:right w:type="dxa" w:w="10"/>
            </w:tcMar>
          </w:tcPr>
          <w:p w14:paraId="7C010000">
            <w:pPr>
              <w:pStyle w:val="Style_7"/>
              <w:ind w:firstLine="0" w:left="0"/>
              <w:jc w:val="center"/>
            </w:pPr>
            <w:r>
              <w:t>Только в установленных остановочных пунктах</w:t>
            </w:r>
          </w:p>
        </w:tc>
        <w:tc>
          <w:tcPr>
            <w:tcW w:type="dxa" w:w="1165"/>
            <w:tcBorders>
              <w:top w:color="000000" w:sz="2" w:val="single"/>
              <w:bottom w:color="000000" w:sz="2" w:val="single"/>
              <w:right w:color="000000" w:sz="2" w:val="single"/>
            </w:tcBorders>
            <w:tcMar>
              <w:top w:type="dxa" w:w="0"/>
              <w:left w:type="dxa" w:w="10"/>
              <w:bottom w:type="dxa" w:w="0"/>
              <w:right w:type="dxa" w:w="10"/>
            </w:tcMar>
          </w:tcPr>
          <w:p w14:paraId="7D010000">
            <w:pPr>
              <w:pStyle w:val="Style_7"/>
              <w:ind w:firstLine="0" w:left="0"/>
              <w:jc w:val="center"/>
            </w:pPr>
            <w:r>
              <w:t>Автобус, малый класс (1)</w:t>
            </w:r>
          </w:p>
        </w:tc>
        <w:tc>
          <w:tcPr>
            <w:tcW w:type="dxa" w:w="849"/>
            <w:tcBorders>
              <w:top w:color="000000" w:sz="2" w:val="single"/>
              <w:bottom w:color="000000" w:sz="2" w:val="single"/>
              <w:right w:color="000000" w:sz="2" w:val="single"/>
            </w:tcBorders>
            <w:tcMar>
              <w:top w:type="dxa" w:w="0"/>
              <w:left w:type="dxa" w:w="10"/>
              <w:bottom w:type="dxa" w:w="0"/>
              <w:right w:type="dxa" w:w="10"/>
            </w:tcMar>
          </w:tcPr>
          <w:p w14:paraId="7E010000">
            <w:pPr>
              <w:pStyle w:val="Style_7"/>
              <w:ind w:firstLine="0" w:left="0"/>
              <w:jc w:val="center"/>
            </w:pPr>
          </w:p>
        </w:tc>
      </w:tr>
    </w:tbl>
    <w:p w14:paraId="7F010000">
      <w:pPr>
        <w:rPr>
          <w:sz w:val="28"/>
        </w:rPr>
      </w:pPr>
    </w:p>
    <w:p w14:paraId="80010000">
      <w:pPr>
        <w:ind w:firstLine="0" w:left="709"/>
        <w:jc w:val="center"/>
        <w:rPr>
          <w:sz w:val="28"/>
        </w:rPr>
      </w:pPr>
    </w:p>
    <w:p w14:paraId="81010000">
      <w:pPr>
        <w:ind w:firstLine="0" w:left="709"/>
        <w:rPr>
          <w:sz w:val="28"/>
        </w:rPr>
      </w:pPr>
      <w:r>
        <w:rPr>
          <w:sz w:val="28"/>
        </w:rPr>
        <w:t xml:space="preserve">Заместитель главы муниципального образования </w:t>
      </w:r>
    </w:p>
    <w:p w14:paraId="82010000">
      <w:pPr>
        <w:ind w:firstLine="0" w:left="709"/>
        <w:rPr>
          <w:sz w:val="28"/>
        </w:rPr>
      </w:pPr>
      <w:r>
        <w:rPr>
          <w:sz w:val="28"/>
        </w:rPr>
        <w:t xml:space="preserve">Отрадненский район по вопросам строительства </w:t>
      </w:r>
    </w:p>
    <w:p w14:paraId="83010000">
      <w:pPr>
        <w:ind w:firstLine="0" w:left="709"/>
        <w:rPr>
          <w:sz w:val="32"/>
        </w:rPr>
      </w:pPr>
      <w:r>
        <w:rPr>
          <w:sz w:val="28"/>
        </w:rPr>
        <w:t>и жилищно-коммунального хозяйства                                                                                                             С.В. Запорожец</w:t>
      </w:r>
    </w:p>
    <w:p w14:paraId="84010000">
      <w:pPr>
        <w:sectPr>
          <w:headerReference r:id="rId5" w:type="default"/>
          <w:pgSz w:h="11900" w:orient="landscape" w:w="16800"/>
          <w:pgMar w:bottom="567" w:footer="720" w:gutter="0" w:header="720" w:left="851" w:right="1134" w:top="1135"/>
          <w:pgNumType w:start="1"/>
          <w:titlePg/>
        </w:sectPr>
      </w:pPr>
    </w:p>
    <w:sectPr>
      <w:headerReference r:id="rId1" w:type="default"/>
      <w:pgSz w:h="16800" w:orient="portrait" w:w="11900"/>
      <w:pgMar w:bottom="1134" w:footer="720" w:gutter="0" w:header="720"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center"/>
    </w:pPr>
    <w:r>
      <w:fldChar w:fldCharType="begin"/>
    </w:r>
    <w:r>
      <w:instrText xml:space="preserve">PAGE </w:instrText>
    </w:r>
    <w:r>
      <w:fldChar w:fldCharType="separate"/>
    </w:r>
    <w:r>
      <w:t xml:space="preserve"> </w:t>
    </w:r>
    <w:r>
      <w:fldChar w:fldCharType="end"/>
    </w:r>
  </w:p>
  <w:p w14:paraId="03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pPr>
    <w:r>
      <w:fldChar w:fldCharType="begin"/>
    </w:r>
    <w:r>
      <w:instrText xml:space="preserve">PAGE </w:instrText>
    </w:r>
    <w:r>
      <w:fldChar w:fldCharType="separate"/>
    </w:r>
    <w:r>
      <w:t xml:space="preserve"> </w:t>
    </w:r>
    <w:r>
      <w:fldChar w:fldCharType="end"/>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r>
      <w:fldChar w:fldCharType="begin"/>
    </w:r>
    <w:r>
      <w:instrText xml:space="preserve">PAGE </w:instrText>
    </w:r>
    <w:r>
      <w:fldChar w:fldCharType="separate"/>
    </w:r>
    <w:r>
      <w:t xml:space="preserve"> </w:t>
    </w:r>
    <w: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pP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4"/>
      <w:lvlJc w:val="left"/>
      <w:pPr>
        <w:tabs>
          <w:tab w:leader="none" w:pos="0" w:val="left"/>
        </w:tabs>
        <w:ind w:firstLine="0" w:left="0"/>
      </w:pPr>
    </w:lvl>
    <w:lvl w:ilvl="1">
      <w:start w:val="1"/>
      <w:numFmt w:val="decimal"/>
      <w:lvlJc w:val="left"/>
      <w:pPr>
        <w:tabs>
          <w:tab w:leader="none" w:pos="576" w:val="left"/>
        </w:tabs>
        <w:ind w:hanging="576" w:left="576"/>
      </w:pPr>
    </w:lvl>
    <w:lvl w:ilvl="2">
      <w:start w:val="1"/>
      <w:numFmt w:val="decimal"/>
      <w:pStyle w:val="Style_3"/>
      <w:lvlJc w:val="left"/>
      <w:pPr>
        <w:tabs>
          <w:tab w:leader="none" w:pos="0" w:val="left"/>
        </w:tabs>
        <w:ind w:firstLine="0" w:left="0"/>
      </w:pPr>
    </w:lvl>
    <w:lvl w:ilvl="3">
      <w:start w:val="1"/>
      <w:numFmt w:val="decimal"/>
      <w:lvlJc w:val="left"/>
      <w:pPr>
        <w:tabs>
          <w:tab w:leader="none" w:pos="864" w:val="left"/>
        </w:tabs>
        <w:ind w:hanging="864" w:left="864"/>
      </w:pPr>
    </w:lvl>
    <w:lvl w:ilvl="4">
      <w:start w:val="1"/>
      <w:numFmt w:val="decimal"/>
      <w:pStyle w:val="Style_78"/>
      <w:lvlJc w:val="left"/>
      <w:pPr>
        <w:tabs>
          <w:tab w:leader="none" w:pos="0" w:val="left"/>
        </w:tabs>
        <w:ind w:firstLine="0" w:left="0"/>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color w:val="000000"/>
      <w:sz w:val="24"/>
    </w:rPr>
  </w:style>
  <w:style w:default="1" w:styleId="Style_8_ch" w:type="character">
    <w:name w:val="Normal"/>
    <w:link w:val="Style_8"/>
    <w:rPr>
      <w:color w:val="000000"/>
      <w:sz w:val="24"/>
    </w:rPr>
  </w:style>
  <w:style w:styleId="Style_9" w:type="paragraph">
    <w:name w:val="WW-Absatz-Standardschriftart111111111111111111"/>
    <w:link w:val="Style_9_ch"/>
    <w:rPr>
      <w:color w:val="000000"/>
    </w:rPr>
  </w:style>
  <w:style w:styleId="Style_9_ch" w:type="character">
    <w:name w:val="WW-Absatz-Standardschriftart111111111111111111"/>
    <w:link w:val="Style_9"/>
    <w:rPr>
      <w:color w:val="000000"/>
    </w:rPr>
  </w:style>
  <w:style w:styleId="Style_10" w:type="paragraph">
    <w:name w:val="WW-Absatz-Standardschriftart11111111111111111111"/>
    <w:link w:val="Style_10_ch"/>
    <w:rPr>
      <w:color w:val="000000"/>
    </w:rPr>
  </w:style>
  <w:style w:styleId="Style_10_ch" w:type="character">
    <w:name w:val="WW-Absatz-Standardschriftart11111111111111111111"/>
    <w:link w:val="Style_10"/>
    <w:rPr>
      <w:color w:val="000000"/>
    </w:rPr>
  </w:style>
  <w:style w:styleId="Style_11" w:type="paragraph">
    <w:name w:val="toc 2"/>
    <w:next w:val="Style_8"/>
    <w:link w:val="Style_11_ch"/>
    <w:uiPriority w:val="39"/>
    <w:pPr>
      <w:ind w:firstLine="0" w:left="200"/>
    </w:pPr>
    <w:rPr>
      <w:rFonts w:ascii="XO Thames" w:hAnsi="XO Thames"/>
      <w:color w:val="000000"/>
      <w:sz w:val="28"/>
    </w:rPr>
  </w:style>
  <w:style w:styleId="Style_11_ch" w:type="character">
    <w:name w:val="toc 2"/>
    <w:link w:val="Style_11"/>
    <w:rPr>
      <w:rFonts w:ascii="XO Thames" w:hAnsi="XO Thames"/>
      <w:color w:val="000000"/>
      <w:sz w:val="28"/>
    </w:rPr>
  </w:style>
  <w:style w:styleId="Style_12" w:type="paragraph">
    <w:name w:val="WW8Num1z4"/>
    <w:link w:val="Style_12_ch"/>
    <w:rPr>
      <w:color w:val="000000"/>
    </w:rPr>
  </w:style>
  <w:style w:styleId="Style_12_ch" w:type="character">
    <w:name w:val="WW8Num1z4"/>
    <w:link w:val="Style_12"/>
    <w:rPr>
      <w:color w:val="000000"/>
    </w:rPr>
  </w:style>
  <w:style w:styleId="Style_13" w:type="paragraph">
    <w:name w:val="toc 4"/>
    <w:next w:val="Style_8"/>
    <w:link w:val="Style_13_ch"/>
    <w:uiPriority w:val="39"/>
    <w:pPr>
      <w:ind w:firstLine="0" w:left="600"/>
    </w:pPr>
    <w:rPr>
      <w:rFonts w:ascii="XO Thames" w:hAnsi="XO Thames"/>
      <w:color w:val="000000"/>
      <w:sz w:val="28"/>
    </w:rPr>
  </w:style>
  <w:style w:styleId="Style_13_ch" w:type="character">
    <w:name w:val="toc 4"/>
    <w:link w:val="Style_13"/>
    <w:rPr>
      <w:rFonts w:ascii="XO Thames" w:hAnsi="XO Thames"/>
      <w:color w:val="000000"/>
      <w:sz w:val="28"/>
    </w:rPr>
  </w:style>
  <w:style w:styleId="Style_14" w:type="paragraph">
    <w:name w:val="WW-Absatz-Standardschriftart1111111111111111111"/>
    <w:link w:val="Style_14_ch"/>
    <w:rPr>
      <w:color w:val="000000"/>
    </w:rPr>
  </w:style>
  <w:style w:styleId="Style_14_ch" w:type="character">
    <w:name w:val="WW-Absatz-Standardschriftart1111111111111111111"/>
    <w:link w:val="Style_14"/>
    <w:rPr>
      <w:color w:val="000000"/>
    </w:rPr>
  </w:style>
  <w:style w:styleId="Style_15" w:type="paragraph">
    <w:name w:val="Balloon Text"/>
    <w:basedOn w:val="Style_8"/>
    <w:link w:val="Style_15_ch"/>
    <w:rPr>
      <w:rFonts w:ascii="Tahoma" w:hAnsi="Tahoma"/>
      <w:sz w:val="16"/>
    </w:rPr>
  </w:style>
  <w:style w:styleId="Style_15_ch" w:type="character">
    <w:name w:val="Balloon Text"/>
    <w:basedOn w:val="Style_8_ch"/>
    <w:link w:val="Style_15"/>
    <w:rPr>
      <w:rFonts w:ascii="Tahoma" w:hAnsi="Tahoma"/>
      <w:sz w:val="16"/>
    </w:rPr>
  </w:style>
  <w:style w:styleId="Style_16" w:type="paragraph">
    <w:name w:val="No Spacing"/>
    <w:link w:val="Style_16_ch"/>
    <w:rPr>
      <w:color w:val="000000"/>
      <w:sz w:val="24"/>
    </w:rPr>
  </w:style>
  <w:style w:styleId="Style_16_ch" w:type="character">
    <w:name w:val="No Spacing"/>
    <w:link w:val="Style_16"/>
    <w:rPr>
      <w:color w:val="000000"/>
      <w:sz w:val="24"/>
    </w:rPr>
  </w:style>
  <w:style w:styleId="Style_17" w:type="paragraph">
    <w:name w:val="Основной шрифт абзаца1_1"/>
    <w:link w:val="Style_17_ch"/>
    <w:rPr>
      <w:color w:val="000000"/>
    </w:rPr>
  </w:style>
  <w:style w:styleId="Style_17_ch" w:type="character">
    <w:name w:val="Основной шрифт абзаца1_1"/>
    <w:link w:val="Style_17"/>
    <w:rPr>
      <w:color w:val="000000"/>
    </w:rPr>
  </w:style>
  <w:style w:styleId="Style_18" w:type="paragraph">
    <w:name w:val="WW8Num1z8"/>
    <w:link w:val="Style_18_ch"/>
    <w:rPr>
      <w:color w:val="000000"/>
    </w:rPr>
  </w:style>
  <w:style w:styleId="Style_18_ch" w:type="character">
    <w:name w:val="WW8Num1z8"/>
    <w:link w:val="Style_18"/>
    <w:rPr>
      <w:color w:val="000000"/>
    </w:rPr>
  </w:style>
  <w:style w:styleId="Style_19" w:type="paragraph">
    <w:name w:val="Знак Знак5"/>
    <w:basedOn w:val="Style_8"/>
    <w:link w:val="Style_19_ch"/>
    <w:pPr>
      <w:spacing w:after="160" w:line="240" w:lineRule="exact"/>
      <w:ind/>
    </w:pPr>
    <w:rPr>
      <w:rFonts w:ascii="Verdana" w:hAnsi="Verdana"/>
      <w:sz w:val="20"/>
    </w:rPr>
  </w:style>
  <w:style w:styleId="Style_19_ch" w:type="character">
    <w:name w:val="Знак Знак5"/>
    <w:basedOn w:val="Style_8_ch"/>
    <w:link w:val="Style_19"/>
    <w:rPr>
      <w:rFonts w:ascii="Verdana" w:hAnsi="Verdana"/>
      <w:sz w:val="20"/>
    </w:rPr>
  </w:style>
  <w:style w:styleId="Style_20" w:type="paragraph">
    <w:name w:val="Содержимое врезки"/>
    <w:basedOn w:val="Style_21"/>
    <w:link w:val="Style_20_ch"/>
  </w:style>
  <w:style w:styleId="Style_20_ch" w:type="character">
    <w:name w:val="Содержимое врезки"/>
    <w:basedOn w:val="Style_21_ch"/>
    <w:link w:val="Style_20"/>
  </w:style>
  <w:style w:styleId="Style_22" w:type="paragraph">
    <w:name w:val="toc 6"/>
    <w:next w:val="Style_8"/>
    <w:link w:val="Style_22_ch"/>
    <w:uiPriority w:val="39"/>
    <w:pPr>
      <w:ind w:firstLine="0" w:left="1000"/>
    </w:pPr>
    <w:rPr>
      <w:rFonts w:ascii="XO Thames" w:hAnsi="XO Thames"/>
      <w:color w:val="000000"/>
      <w:sz w:val="28"/>
    </w:rPr>
  </w:style>
  <w:style w:styleId="Style_22_ch" w:type="character">
    <w:name w:val="toc 6"/>
    <w:link w:val="Style_22"/>
    <w:rPr>
      <w:rFonts w:ascii="XO Thames" w:hAnsi="XO Thames"/>
      <w:color w:val="000000"/>
      <w:sz w:val="28"/>
    </w:rPr>
  </w:style>
  <w:style w:styleId="Style_23" w:type="paragraph">
    <w:name w:val="WW-Absatz-Standardschriftart111111111111111111111111111111111"/>
    <w:link w:val="Style_23_ch"/>
    <w:rPr>
      <w:color w:val="000000"/>
    </w:rPr>
  </w:style>
  <w:style w:styleId="Style_23_ch" w:type="character">
    <w:name w:val="WW-Absatz-Standardschriftart111111111111111111111111111111111"/>
    <w:link w:val="Style_23"/>
    <w:rPr>
      <w:color w:val="000000"/>
    </w:rPr>
  </w:style>
  <w:style w:styleId="Style_24" w:type="paragraph">
    <w:name w:val="Обычный1"/>
    <w:link w:val="Style_24_ch"/>
    <w:rPr>
      <w:sz w:val="24"/>
    </w:rPr>
  </w:style>
  <w:style w:styleId="Style_24_ch" w:type="character">
    <w:name w:val="Обычный1"/>
    <w:link w:val="Style_24"/>
    <w:rPr>
      <w:sz w:val="24"/>
    </w:rPr>
  </w:style>
  <w:style w:styleId="Style_25" w:type="paragraph">
    <w:name w:val="toc 7"/>
    <w:next w:val="Style_8"/>
    <w:link w:val="Style_25_ch"/>
    <w:uiPriority w:val="39"/>
    <w:pPr>
      <w:ind w:firstLine="0" w:left="1200"/>
    </w:pPr>
    <w:rPr>
      <w:rFonts w:ascii="XO Thames" w:hAnsi="XO Thames"/>
      <w:color w:val="000000"/>
      <w:sz w:val="28"/>
    </w:rPr>
  </w:style>
  <w:style w:styleId="Style_25_ch" w:type="character">
    <w:name w:val="toc 7"/>
    <w:link w:val="Style_25"/>
    <w:rPr>
      <w:rFonts w:ascii="XO Thames" w:hAnsi="XO Thames"/>
      <w:color w:val="000000"/>
      <w:sz w:val="28"/>
    </w:rPr>
  </w:style>
  <w:style w:styleId="Style_26" w:type="paragraph">
    <w:name w:val="WW-Absatz-Standardschriftart1111111111111111111111"/>
    <w:link w:val="Style_26_ch"/>
    <w:rPr>
      <w:color w:val="000000"/>
    </w:rPr>
  </w:style>
  <w:style w:styleId="Style_26_ch" w:type="character">
    <w:name w:val="WW-Absatz-Standardschriftart1111111111111111111111"/>
    <w:link w:val="Style_26"/>
    <w:rPr>
      <w:color w:val="000000"/>
    </w:rPr>
  </w:style>
  <w:style w:styleId="Style_27" w:type="paragraph">
    <w:name w:val="WW-Absatz-Standardschriftart11111111111111111111111"/>
    <w:link w:val="Style_27_ch"/>
    <w:rPr>
      <w:color w:val="000000"/>
    </w:rPr>
  </w:style>
  <w:style w:styleId="Style_27_ch" w:type="character">
    <w:name w:val="WW-Absatz-Standardschriftart11111111111111111111111"/>
    <w:link w:val="Style_27"/>
    <w:rPr>
      <w:color w:val="000000"/>
    </w:rPr>
  </w:style>
  <w:style w:styleId="Style_28" w:type="paragraph">
    <w:name w:val="WW-Absatz-Standardschriftart1111111"/>
    <w:link w:val="Style_28_ch"/>
    <w:rPr>
      <w:color w:val="000000"/>
    </w:rPr>
  </w:style>
  <w:style w:styleId="Style_28_ch" w:type="character">
    <w:name w:val="WW-Absatz-Standardschriftart1111111"/>
    <w:link w:val="Style_28"/>
    <w:rPr>
      <w:color w:val="000000"/>
    </w:rPr>
  </w:style>
  <w:style w:styleId="Style_29" w:type="paragraph">
    <w:name w:val="Основной шрифт абзаца3"/>
    <w:link w:val="Style_29_ch"/>
    <w:rPr>
      <w:color w:val="000000"/>
    </w:rPr>
  </w:style>
  <w:style w:styleId="Style_29_ch" w:type="character">
    <w:name w:val="Основной шрифт абзаца3"/>
    <w:link w:val="Style_29"/>
    <w:rPr>
      <w:color w:val="000000"/>
    </w:rPr>
  </w:style>
  <w:style w:styleId="Style_30" w:type="paragraph">
    <w:name w:val="WW-Absatz-Standardschriftart11111111111"/>
    <w:link w:val="Style_30_ch"/>
    <w:rPr>
      <w:color w:val="000000"/>
    </w:rPr>
  </w:style>
  <w:style w:styleId="Style_30_ch" w:type="character">
    <w:name w:val="WW-Absatz-Standardschriftart11111111111"/>
    <w:link w:val="Style_30"/>
    <w:rPr>
      <w:color w:val="000000"/>
    </w:rPr>
  </w:style>
  <w:style w:styleId="Style_31" w:type="paragraph">
    <w:name w:val="Знак"/>
    <w:basedOn w:val="Style_8"/>
    <w:link w:val="Style_31_ch"/>
    <w:pPr>
      <w:tabs>
        <w:tab w:leader="none" w:pos="1134" w:val="left"/>
      </w:tabs>
      <w:spacing w:after="160" w:line="240" w:lineRule="exact"/>
      <w:ind/>
    </w:pPr>
    <w:rPr>
      <w:sz w:val="22"/>
    </w:rPr>
  </w:style>
  <w:style w:styleId="Style_31_ch" w:type="character">
    <w:name w:val="Знак"/>
    <w:basedOn w:val="Style_8_ch"/>
    <w:link w:val="Style_31"/>
    <w:rPr>
      <w:sz w:val="22"/>
    </w:rPr>
  </w:style>
  <w:style w:styleId="Style_32" w:type="paragraph">
    <w:name w:val="Заголовок1"/>
    <w:basedOn w:val="Style_8"/>
    <w:next w:val="Style_21"/>
    <w:link w:val="Style_32_ch"/>
    <w:pPr>
      <w:keepNext w:val="1"/>
      <w:spacing w:after="120" w:before="240"/>
      <w:ind/>
    </w:pPr>
    <w:rPr>
      <w:rFonts w:ascii="Arial" w:hAnsi="Arial"/>
      <w:sz w:val="28"/>
    </w:rPr>
  </w:style>
  <w:style w:styleId="Style_32_ch" w:type="character">
    <w:name w:val="Заголовок1"/>
    <w:basedOn w:val="Style_8_ch"/>
    <w:link w:val="Style_32"/>
    <w:rPr>
      <w:rFonts w:ascii="Arial" w:hAnsi="Arial"/>
      <w:sz w:val="28"/>
    </w:rPr>
  </w:style>
  <w:style w:styleId="Style_33" w:type="paragraph">
    <w:name w:val="Endnote"/>
    <w:link w:val="Style_33_ch"/>
    <w:pPr>
      <w:ind w:firstLine="851" w:left="0"/>
      <w:jc w:val="both"/>
    </w:pPr>
    <w:rPr>
      <w:rFonts w:ascii="XO Thames" w:hAnsi="XO Thames"/>
      <w:color w:val="000000"/>
      <w:sz w:val="22"/>
    </w:rPr>
  </w:style>
  <w:style w:styleId="Style_33_ch" w:type="character">
    <w:name w:val="Endnote"/>
    <w:link w:val="Style_33"/>
    <w:rPr>
      <w:rFonts w:ascii="XO Thames" w:hAnsi="XO Thames"/>
      <w:color w:val="000000"/>
      <w:sz w:val="22"/>
    </w:rPr>
  </w:style>
  <w:style w:styleId="Style_3" w:type="paragraph">
    <w:name w:val="heading 3"/>
    <w:basedOn w:val="Style_8"/>
    <w:next w:val="Style_8"/>
    <w:link w:val="Style_3_ch"/>
    <w:uiPriority w:val="9"/>
    <w:qFormat/>
    <w:pPr>
      <w:keepNext w:val="1"/>
      <w:numPr>
        <w:ilvl w:val="2"/>
        <w:numId w:val="1"/>
      </w:numPr>
      <w:ind/>
      <w:outlineLvl w:val="2"/>
    </w:pPr>
    <w:rPr>
      <w:b w:val="1"/>
      <w:sz w:val="36"/>
    </w:rPr>
  </w:style>
  <w:style w:styleId="Style_3_ch" w:type="character">
    <w:name w:val="heading 3"/>
    <w:basedOn w:val="Style_8_ch"/>
    <w:link w:val="Style_3"/>
    <w:rPr>
      <w:b w:val="1"/>
      <w:sz w:val="36"/>
    </w:rPr>
  </w:style>
  <w:style w:styleId="Style_34" w:type="paragraph">
    <w:name w:val="Основной текст с отступом 21_0"/>
    <w:basedOn w:val="Style_24"/>
    <w:link w:val="Style_34_ch"/>
  </w:style>
  <w:style w:styleId="Style_34_ch" w:type="character">
    <w:name w:val="Основной текст с отступом 21_0"/>
    <w:basedOn w:val="Style_24_ch"/>
    <w:link w:val="Style_34"/>
  </w:style>
  <w:style w:styleId="Style_35" w:type="paragraph">
    <w:name w:val="WW-Absatz-Standardschriftart11111111111111111111111111"/>
    <w:link w:val="Style_35_ch"/>
    <w:rPr>
      <w:color w:val="000000"/>
    </w:rPr>
  </w:style>
  <w:style w:styleId="Style_35_ch" w:type="character">
    <w:name w:val="WW-Absatz-Standardschriftart11111111111111111111111111"/>
    <w:link w:val="Style_35"/>
    <w:rPr>
      <w:color w:val="000000"/>
    </w:rPr>
  </w:style>
  <w:style w:styleId="Style_36" w:type="paragraph">
    <w:name w:val="Основной шрифт абзаца4"/>
    <w:link w:val="Style_36_ch"/>
    <w:rPr>
      <w:color w:val="000000"/>
    </w:rPr>
  </w:style>
  <w:style w:styleId="Style_36_ch" w:type="character">
    <w:name w:val="Основной шрифт абзаца4"/>
    <w:link w:val="Style_36"/>
    <w:rPr>
      <w:color w:val="000000"/>
    </w:rPr>
  </w:style>
  <w:style w:styleId="Style_37" w:type="paragraph">
    <w:name w:val="Обычный1_0"/>
    <w:link w:val="Style_37_ch"/>
    <w:rPr>
      <w:color w:val="000000"/>
      <w:sz w:val="24"/>
    </w:rPr>
  </w:style>
  <w:style w:styleId="Style_37_ch" w:type="character">
    <w:name w:val="Обычный1_0"/>
    <w:link w:val="Style_37"/>
    <w:rPr>
      <w:color w:val="000000"/>
      <w:sz w:val="24"/>
    </w:rPr>
  </w:style>
  <w:style w:styleId="Style_38" w:type="paragraph">
    <w:name w:val="Гиперссылка1"/>
    <w:link w:val="Style_38_ch"/>
    <w:rPr>
      <w:color w:val="0000FF"/>
      <w:u w:val="single"/>
    </w:rPr>
  </w:style>
  <w:style w:styleId="Style_38_ch" w:type="character">
    <w:name w:val="Гиперссылка1"/>
    <w:link w:val="Style_38"/>
    <w:rPr>
      <w:color w:val="0000FF"/>
      <w:u w:val="single"/>
    </w:rPr>
  </w:style>
  <w:style w:styleId="Style_39" w:type="paragraph">
    <w:name w:val="WW-Absatz-Standardschriftart11111111111111111111111111111111111_0"/>
    <w:link w:val="Style_39_ch"/>
    <w:rPr>
      <w:color w:val="000000"/>
    </w:rPr>
  </w:style>
  <w:style w:styleId="Style_39_ch" w:type="character">
    <w:name w:val="WW-Absatz-Standardschriftart11111111111111111111111111111111111_0"/>
    <w:link w:val="Style_39"/>
    <w:rPr>
      <w:color w:val="000000"/>
    </w:rPr>
  </w:style>
  <w:style w:styleId="Style_40" w:type="paragraph">
    <w:name w:val="WW-Absatz-Standardschriftart11"/>
    <w:link w:val="Style_40_ch"/>
    <w:rPr>
      <w:color w:val="000000"/>
    </w:rPr>
  </w:style>
  <w:style w:styleId="Style_40_ch" w:type="character">
    <w:name w:val="WW-Absatz-Standardschriftart11"/>
    <w:link w:val="Style_40"/>
    <w:rPr>
      <w:color w:val="000000"/>
    </w:rPr>
  </w:style>
  <w:style w:styleId="Style_41" w:type="paragraph">
    <w:name w:val="Цветовое выделение для Текст"/>
    <w:link w:val="Style_41_ch"/>
    <w:rPr>
      <w:color w:val="000000"/>
    </w:rPr>
  </w:style>
  <w:style w:styleId="Style_41_ch" w:type="character">
    <w:name w:val="Цветовое выделение для Текст"/>
    <w:link w:val="Style_41"/>
    <w:rPr>
      <w:color w:val="000000"/>
    </w:rPr>
  </w:style>
  <w:style w:styleId="Style_42" w:type="paragraph">
    <w:name w:val="WW8Num1z7"/>
    <w:link w:val="Style_42_ch"/>
    <w:rPr>
      <w:color w:val="000000"/>
    </w:rPr>
  </w:style>
  <w:style w:styleId="Style_42_ch" w:type="character">
    <w:name w:val="WW8Num1z7"/>
    <w:link w:val="Style_42"/>
    <w:rPr>
      <w:color w:val="000000"/>
    </w:rPr>
  </w:style>
  <w:style w:styleId="Style_43" w:type="paragraph">
    <w:name w:val="WW-Absatz-Standardschriftart11111111111111111111111111111111"/>
    <w:link w:val="Style_43_ch"/>
    <w:rPr>
      <w:color w:val="000000"/>
    </w:rPr>
  </w:style>
  <w:style w:styleId="Style_43_ch" w:type="character">
    <w:name w:val="WW-Absatz-Standardschriftart11111111111111111111111111111111"/>
    <w:link w:val="Style_43"/>
    <w:rPr>
      <w:color w:val="000000"/>
    </w:rPr>
  </w:style>
  <w:style w:styleId="Style_7" w:type="paragraph">
    <w:name w:val="Нормальный"/>
    <w:basedOn w:val="Style_8"/>
    <w:link w:val="Style_7_ch"/>
    <w:pPr>
      <w:ind w:firstLine="720" w:left="0"/>
      <w:jc w:val="both"/>
    </w:pPr>
  </w:style>
  <w:style w:styleId="Style_7_ch" w:type="character">
    <w:name w:val="Нормальный"/>
    <w:basedOn w:val="Style_8_ch"/>
    <w:link w:val="Style_7"/>
  </w:style>
  <w:style w:styleId="Style_44" w:type="paragraph">
    <w:name w:val="Absatz-Standardschriftart"/>
    <w:link w:val="Style_44_ch"/>
    <w:rPr>
      <w:color w:val="000000"/>
    </w:rPr>
  </w:style>
  <w:style w:styleId="Style_44_ch" w:type="character">
    <w:name w:val="Absatz-Standardschriftart"/>
    <w:link w:val="Style_44"/>
    <w:rPr>
      <w:color w:val="000000"/>
    </w:rPr>
  </w:style>
  <w:style w:styleId="Style_45" w:type="paragraph">
    <w:name w:val="Знак Знак2"/>
    <w:basedOn w:val="Style_8"/>
    <w:link w:val="Style_45_ch"/>
    <w:pPr>
      <w:tabs>
        <w:tab w:leader="none" w:pos="1134" w:val="left"/>
      </w:tabs>
      <w:spacing w:after="160" w:line="240" w:lineRule="exact"/>
      <w:ind/>
    </w:pPr>
    <w:rPr>
      <w:sz w:val="22"/>
    </w:rPr>
  </w:style>
  <w:style w:styleId="Style_45_ch" w:type="character">
    <w:name w:val="Знак Знак2"/>
    <w:basedOn w:val="Style_8_ch"/>
    <w:link w:val="Style_45"/>
    <w:rPr>
      <w:sz w:val="22"/>
    </w:rPr>
  </w:style>
  <w:style w:styleId="Style_46" w:type="paragraph">
    <w:name w:val="Содержимое таблицы"/>
    <w:basedOn w:val="Style_8"/>
    <w:link w:val="Style_46_ch"/>
  </w:style>
  <w:style w:styleId="Style_46_ch" w:type="character">
    <w:name w:val="Содержимое таблицы"/>
    <w:basedOn w:val="Style_8_ch"/>
    <w:link w:val="Style_46"/>
  </w:style>
  <w:style w:styleId="Style_47" w:type="paragraph">
    <w:name w:val="Document Map"/>
    <w:basedOn w:val="Style_8"/>
    <w:link w:val="Style_47_ch"/>
    <w:rPr>
      <w:rFonts w:ascii="Tahoma" w:hAnsi="Tahoma"/>
      <w:sz w:val="20"/>
    </w:rPr>
  </w:style>
  <w:style w:styleId="Style_47_ch" w:type="character">
    <w:name w:val="Document Map"/>
    <w:basedOn w:val="Style_8_ch"/>
    <w:link w:val="Style_47"/>
    <w:rPr>
      <w:rFonts w:ascii="Tahoma" w:hAnsi="Tahoma"/>
      <w:sz w:val="20"/>
    </w:rPr>
  </w:style>
  <w:style w:styleId="Style_48" w:type="paragraph">
    <w:name w:val="WW-Absatz-Standardschriftart"/>
    <w:link w:val="Style_48_ch"/>
    <w:rPr>
      <w:color w:val="000000"/>
    </w:rPr>
  </w:style>
  <w:style w:styleId="Style_48_ch" w:type="character">
    <w:name w:val="WW-Absatz-Standardschriftart"/>
    <w:link w:val="Style_48"/>
    <w:rPr>
      <w:color w:val="000000"/>
    </w:rPr>
  </w:style>
  <w:style w:styleId="Style_49" w:type="paragraph">
    <w:name w:val="Body Text Indent 2"/>
    <w:basedOn w:val="Style_8"/>
    <w:link w:val="Style_49_ch"/>
    <w:pPr>
      <w:ind w:firstLine="0" w:left="360"/>
      <w:jc w:val="both"/>
    </w:pPr>
    <w:rPr>
      <w:sz w:val="28"/>
    </w:rPr>
  </w:style>
  <w:style w:styleId="Style_49_ch" w:type="character">
    <w:name w:val="Body Text Indent 2"/>
    <w:basedOn w:val="Style_8_ch"/>
    <w:link w:val="Style_49"/>
    <w:rPr>
      <w:sz w:val="28"/>
    </w:rPr>
  </w:style>
  <w:style w:styleId="Style_50" w:type="paragraph">
    <w:name w:val="Основной шрифт абзаца2"/>
    <w:link w:val="Style_50_ch"/>
    <w:rPr>
      <w:color w:val="000000"/>
    </w:rPr>
  </w:style>
  <w:style w:styleId="Style_50_ch" w:type="character">
    <w:name w:val="Основной шрифт абзаца2"/>
    <w:link w:val="Style_50"/>
    <w:rPr>
      <w:color w:val="000000"/>
    </w:rPr>
  </w:style>
  <w:style w:styleId="Style_51" w:type="paragraph">
    <w:name w:val="WW-Absatz-Standardschriftart11111111111111111111111111111"/>
    <w:link w:val="Style_51_ch"/>
    <w:rPr>
      <w:color w:val="000000"/>
    </w:rPr>
  </w:style>
  <w:style w:styleId="Style_51_ch" w:type="character">
    <w:name w:val="WW-Absatz-Standardschriftart11111111111111111111111111111"/>
    <w:link w:val="Style_51"/>
    <w:rPr>
      <w:color w:val="000000"/>
    </w:rPr>
  </w:style>
  <w:style w:styleId="Style_52" w:type="paragraph">
    <w:name w:val="Указатель4"/>
    <w:basedOn w:val="Style_8"/>
    <w:link w:val="Style_52_ch"/>
  </w:style>
  <w:style w:styleId="Style_52_ch" w:type="character">
    <w:name w:val="Указатель4"/>
    <w:basedOn w:val="Style_8_ch"/>
    <w:link w:val="Style_52"/>
  </w:style>
  <w:style w:styleId="Style_53" w:type="paragraph">
    <w:name w:val="WW-Absatz-Standardschriftart11111111111111111111111111111111111111"/>
    <w:link w:val="Style_53_ch"/>
    <w:rPr>
      <w:color w:val="000000"/>
    </w:rPr>
  </w:style>
  <w:style w:styleId="Style_53_ch" w:type="character">
    <w:name w:val="WW-Absatz-Standardschriftart11111111111111111111111111111111111111"/>
    <w:link w:val="Style_53"/>
    <w:rPr>
      <w:color w:val="000000"/>
    </w:rPr>
  </w:style>
  <w:style w:styleId="Style_54" w:type="paragraph">
    <w:name w:val="Указатель2"/>
    <w:basedOn w:val="Style_8"/>
    <w:link w:val="Style_54_ch"/>
  </w:style>
  <w:style w:styleId="Style_54_ch" w:type="character">
    <w:name w:val="Указатель2"/>
    <w:basedOn w:val="Style_8_ch"/>
    <w:link w:val="Style_54"/>
  </w:style>
  <w:style w:styleId="Style_6" w:type="paragraph">
    <w:name w:val="Гипертекстовая ссылка"/>
    <w:link w:val="Style_6_ch"/>
    <w:rPr>
      <w:b w:val="1"/>
      <w:color w:val="106BBE"/>
    </w:rPr>
  </w:style>
  <w:style w:styleId="Style_6_ch" w:type="character">
    <w:name w:val="Гипертекстовая ссылка"/>
    <w:link w:val="Style_6"/>
    <w:rPr>
      <w:b w:val="1"/>
      <w:color w:val="106BBE"/>
    </w:rPr>
  </w:style>
  <w:style w:styleId="Style_55" w:type="paragraph">
    <w:name w:val="Обычный + 14 pt"/>
    <w:basedOn w:val="Style_8"/>
    <w:link w:val="Style_55_ch"/>
    <w:rPr>
      <w:sz w:val="28"/>
    </w:rPr>
  </w:style>
  <w:style w:styleId="Style_55_ch" w:type="character">
    <w:name w:val="Обычный + 14 pt"/>
    <w:basedOn w:val="Style_8_ch"/>
    <w:link w:val="Style_55"/>
    <w:rPr>
      <w:sz w:val="28"/>
    </w:rPr>
  </w:style>
  <w:style w:styleId="Style_56" w:type="paragraph">
    <w:name w:val="Основной текст 22"/>
    <w:basedOn w:val="Style_8"/>
    <w:link w:val="Style_56_ch"/>
    <w:pPr>
      <w:ind/>
      <w:jc w:val="center"/>
    </w:pPr>
    <w:rPr>
      <w:b w:val="1"/>
      <w:sz w:val="28"/>
    </w:rPr>
  </w:style>
  <w:style w:styleId="Style_56_ch" w:type="character">
    <w:name w:val="Основной текст 22"/>
    <w:basedOn w:val="Style_8_ch"/>
    <w:link w:val="Style_56"/>
    <w:rPr>
      <w:b w:val="1"/>
      <w:sz w:val="28"/>
    </w:rPr>
  </w:style>
  <w:style w:styleId="Style_57" w:type="paragraph">
    <w:name w:val="Знак Знак2 Знак Знак Знак Знак"/>
    <w:basedOn w:val="Style_8"/>
    <w:link w:val="Style_57_ch"/>
    <w:pPr>
      <w:tabs>
        <w:tab w:leader="none" w:pos="1134" w:val="left"/>
      </w:tabs>
      <w:spacing w:after="160" w:line="240" w:lineRule="exact"/>
      <w:ind/>
    </w:pPr>
    <w:rPr>
      <w:sz w:val="22"/>
    </w:rPr>
  </w:style>
  <w:style w:styleId="Style_57_ch" w:type="character">
    <w:name w:val="Знак Знак2 Знак Знак Знак Знак"/>
    <w:basedOn w:val="Style_8_ch"/>
    <w:link w:val="Style_57"/>
    <w:rPr>
      <w:sz w:val="22"/>
    </w:rPr>
  </w:style>
  <w:style w:styleId="Style_21" w:type="paragraph">
    <w:name w:val="Body Text"/>
    <w:basedOn w:val="Style_8"/>
    <w:link w:val="Style_21_ch"/>
    <w:pPr>
      <w:spacing w:after="120"/>
      <w:ind/>
    </w:pPr>
  </w:style>
  <w:style w:styleId="Style_21_ch" w:type="character">
    <w:name w:val="Body Text"/>
    <w:basedOn w:val="Style_8_ch"/>
    <w:link w:val="Style_21"/>
  </w:style>
  <w:style w:styleId="Style_58" w:type="paragraph">
    <w:name w:val="WW-Absatz-Standardschriftart1111111111111111111111111111111111111111"/>
    <w:link w:val="Style_58_ch"/>
    <w:rPr>
      <w:color w:val="000000"/>
    </w:rPr>
  </w:style>
  <w:style w:styleId="Style_58_ch" w:type="character">
    <w:name w:val="WW-Absatz-Standardschriftart1111111111111111111111111111111111111111"/>
    <w:link w:val="Style_58"/>
    <w:rPr>
      <w:color w:val="000000"/>
    </w:rPr>
  </w:style>
  <w:style w:styleId="Style_59" w:type="paragraph">
    <w:name w:val="WW-Absatz-Standardschriftart11111111"/>
    <w:link w:val="Style_59_ch"/>
    <w:rPr>
      <w:color w:val="000000"/>
    </w:rPr>
  </w:style>
  <w:style w:styleId="Style_59_ch" w:type="character">
    <w:name w:val="WW-Absatz-Standardschriftart11111111"/>
    <w:link w:val="Style_59"/>
    <w:rPr>
      <w:color w:val="000000"/>
    </w:rPr>
  </w:style>
  <w:style w:styleId="Style_60" w:type="paragraph">
    <w:name w:val="Основной текст 21"/>
    <w:basedOn w:val="Style_8"/>
    <w:link w:val="Style_60_ch"/>
    <w:pPr>
      <w:ind/>
      <w:jc w:val="center"/>
    </w:pPr>
    <w:rPr>
      <w:b w:val="1"/>
      <w:sz w:val="28"/>
    </w:rPr>
  </w:style>
  <w:style w:styleId="Style_60_ch" w:type="character">
    <w:name w:val="Основной текст 21"/>
    <w:basedOn w:val="Style_8_ch"/>
    <w:link w:val="Style_60"/>
    <w:rPr>
      <w:b w:val="1"/>
      <w:sz w:val="28"/>
    </w:rPr>
  </w:style>
  <w:style w:styleId="Style_61" w:type="paragraph">
    <w:name w:val="Основной шрифт абзаца2_0_0"/>
    <w:link w:val="Style_61_ch"/>
    <w:rPr>
      <w:color w:val="000000"/>
    </w:rPr>
  </w:style>
  <w:style w:styleId="Style_61_ch" w:type="character">
    <w:name w:val="Основной шрифт абзаца2_0_0"/>
    <w:link w:val="Style_61"/>
    <w:rPr>
      <w:color w:val="000000"/>
    </w:rPr>
  </w:style>
  <w:style w:styleId="Style_62" w:type="paragraph">
    <w:name w:val="WW-Absatz-Standardschriftart1111111111111111111111111111111111111111111"/>
    <w:link w:val="Style_62_ch"/>
    <w:rPr>
      <w:color w:val="000000"/>
    </w:rPr>
  </w:style>
  <w:style w:styleId="Style_62_ch" w:type="character">
    <w:name w:val="WW-Absatz-Standardschriftart1111111111111111111111111111111111111111111"/>
    <w:link w:val="Style_62"/>
    <w:rPr>
      <w:color w:val="000000"/>
    </w:rPr>
  </w:style>
  <w:style w:styleId="Style_63" w:type="paragraph">
    <w:name w:val="toc 3"/>
    <w:next w:val="Style_8"/>
    <w:link w:val="Style_63_ch"/>
    <w:uiPriority w:val="39"/>
    <w:pPr>
      <w:ind w:firstLine="0" w:left="400"/>
    </w:pPr>
    <w:rPr>
      <w:rFonts w:ascii="XO Thames" w:hAnsi="XO Thames"/>
      <w:color w:val="000000"/>
      <w:sz w:val="28"/>
    </w:rPr>
  </w:style>
  <w:style w:styleId="Style_63_ch" w:type="character">
    <w:name w:val="toc 3"/>
    <w:link w:val="Style_63"/>
    <w:rPr>
      <w:rFonts w:ascii="XO Thames" w:hAnsi="XO Thames"/>
      <w:color w:val="000000"/>
      <w:sz w:val="28"/>
    </w:rPr>
  </w:style>
  <w:style w:styleId="Style_64" w:type="paragraph">
    <w:name w:val="Гиперссылка2_0"/>
    <w:link w:val="Style_64_ch"/>
    <w:rPr>
      <w:color w:val="0000FF"/>
      <w:u w:val="single"/>
    </w:rPr>
  </w:style>
  <w:style w:styleId="Style_64_ch" w:type="character">
    <w:name w:val="Гиперссылка2_0"/>
    <w:link w:val="Style_64"/>
    <w:rPr>
      <w:color w:val="0000FF"/>
      <w:u w:val="single"/>
    </w:rPr>
  </w:style>
  <w:style w:styleId="Style_2" w:type="paragraph">
    <w:name w:val="Название_0"/>
    <w:basedOn w:val="Style_8"/>
    <w:link w:val="Style_2_ch"/>
    <w:pPr>
      <w:ind/>
      <w:jc w:val="center"/>
    </w:pPr>
    <w:rPr>
      <w:b w:val="1"/>
      <w:sz w:val="26"/>
    </w:rPr>
  </w:style>
  <w:style w:styleId="Style_2_ch" w:type="character">
    <w:name w:val="Название_0"/>
    <w:basedOn w:val="Style_8_ch"/>
    <w:link w:val="Style_2"/>
    <w:rPr>
      <w:b w:val="1"/>
      <w:sz w:val="26"/>
    </w:rPr>
  </w:style>
  <w:style w:styleId="Style_65" w:type="paragraph">
    <w:name w:val="footer"/>
    <w:basedOn w:val="Style_8"/>
    <w:link w:val="Style_65_ch"/>
    <w:pPr>
      <w:tabs>
        <w:tab w:leader="none" w:pos="4819" w:val="center"/>
        <w:tab w:leader="none" w:pos="9639" w:val="right"/>
      </w:tabs>
      <w:ind/>
    </w:pPr>
  </w:style>
  <w:style w:styleId="Style_65_ch" w:type="character">
    <w:name w:val="footer"/>
    <w:basedOn w:val="Style_8_ch"/>
    <w:link w:val="Style_65"/>
  </w:style>
  <w:style w:styleId="Style_66" w:type="paragraph">
    <w:name w:val="WW-Absatz-Standardschriftart1111111111111111111111111111"/>
    <w:link w:val="Style_66_ch"/>
    <w:rPr>
      <w:color w:val="000000"/>
    </w:rPr>
  </w:style>
  <w:style w:styleId="Style_66_ch" w:type="character">
    <w:name w:val="WW-Absatz-Standardschriftart1111111111111111111111111111"/>
    <w:link w:val="Style_66"/>
    <w:rPr>
      <w:color w:val="000000"/>
    </w:rPr>
  </w:style>
  <w:style w:styleId="Style_67" w:type="paragraph">
    <w:name w:val="WW-Absatz-Standardschriftart11111111111111111111111111111111111_0_0_0"/>
    <w:link w:val="Style_67_ch"/>
    <w:rPr>
      <w:color w:val="000000"/>
    </w:rPr>
  </w:style>
  <w:style w:styleId="Style_67_ch" w:type="character">
    <w:name w:val="WW-Absatz-Standardschriftart11111111111111111111111111111111111_0_0_0"/>
    <w:link w:val="Style_67"/>
    <w:rPr>
      <w:color w:val="000000"/>
    </w:rPr>
  </w:style>
  <w:style w:styleId="Style_68" w:type="paragraph">
    <w:name w:val="Основной текст с отступом 21"/>
    <w:basedOn w:val="Style_8"/>
    <w:link w:val="Style_68_ch"/>
    <w:pPr>
      <w:spacing w:after="120" w:line="480" w:lineRule="auto"/>
      <w:ind w:firstLine="0" w:left="283"/>
    </w:pPr>
  </w:style>
  <w:style w:styleId="Style_68_ch" w:type="character">
    <w:name w:val="Основной текст с отступом 21"/>
    <w:basedOn w:val="Style_8_ch"/>
    <w:link w:val="Style_68"/>
  </w:style>
  <w:style w:styleId="Style_69" w:type="paragraph">
    <w:name w:val="WW-Absatz-Standardschriftart111"/>
    <w:link w:val="Style_69_ch"/>
    <w:rPr>
      <w:color w:val="000000"/>
    </w:rPr>
  </w:style>
  <w:style w:styleId="Style_69_ch" w:type="character">
    <w:name w:val="WW-Absatz-Standardschriftart111"/>
    <w:link w:val="Style_69"/>
    <w:rPr>
      <w:color w:val="000000"/>
    </w:rPr>
  </w:style>
  <w:style w:styleId="Style_70" w:type="paragraph">
    <w:name w:val="WW-Absatz-Standardschriftart111111111111111111111111111111"/>
    <w:link w:val="Style_70_ch"/>
    <w:rPr>
      <w:color w:val="000000"/>
    </w:rPr>
  </w:style>
  <w:style w:styleId="Style_70_ch" w:type="character">
    <w:name w:val="WW-Absatz-Standardschriftart111111111111111111111111111111"/>
    <w:link w:val="Style_70"/>
    <w:rPr>
      <w:color w:val="000000"/>
    </w:rPr>
  </w:style>
  <w:style w:styleId="Style_71" w:type="paragraph">
    <w:name w:val="WW-Absatz-Standardschriftart1111111111111111"/>
    <w:link w:val="Style_71_ch"/>
    <w:rPr>
      <w:color w:val="000000"/>
    </w:rPr>
  </w:style>
  <w:style w:styleId="Style_71_ch" w:type="character">
    <w:name w:val="WW-Absatz-Standardschriftart1111111111111111"/>
    <w:link w:val="Style_71"/>
    <w:rPr>
      <w:color w:val="000000"/>
    </w:rPr>
  </w:style>
  <w:style w:styleId="Style_72" w:type="paragraph">
    <w:name w:val="Название1"/>
    <w:basedOn w:val="Style_8"/>
    <w:link w:val="Style_72_ch"/>
    <w:pPr>
      <w:spacing w:after="120" w:before="120"/>
      <w:ind/>
    </w:pPr>
    <w:rPr>
      <w:i w:val="1"/>
    </w:rPr>
  </w:style>
  <w:style w:styleId="Style_72_ch" w:type="character">
    <w:name w:val="Название1"/>
    <w:basedOn w:val="Style_8_ch"/>
    <w:link w:val="Style_72"/>
    <w:rPr>
      <w:i w:val="1"/>
    </w:rPr>
  </w:style>
  <w:style w:styleId="Style_73" w:type="paragraph">
    <w:name w:val="Прижатый влево"/>
    <w:basedOn w:val="Style_8"/>
    <w:next w:val="Style_8"/>
    <w:link w:val="Style_73_ch"/>
    <w:pPr>
      <w:widowControl w:val="0"/>
      <w:ind/>
    </w:pPr>
    <w:rPr>
      <w:rFonts w:ascii="Arial" w:hAnsi="Arial"/>
    </w:rPr>
  </w:style>
  <w:style w:styleId="Style_73_ch" w:type="character">
    <w:name w:val="Прижатый влево"/>
    <w:basedOn w:val="Style_8_ch"/>
    <w:link w:val="Style_73"/>
    <w:rPr>
      <w:rFonts w:ascii="Arial" w:hAnsi="Arial"/>
    </w:rPr>
  </w:style>
  <w:style w:styleId="Style_74" w:type="paragraph">
    <w:name w:val="WW8Num1z0"/>
    <w:link w:val="Style_74_ch"/>
    <w:rPr>
      <w:color w:val="000000"/>
    </w:rPr>
  </w:style>
  <w:style w:styleId="Style_74_ch" w:type="character">
    <w:name w:val="WW8Num1z0"/>
    <w:link w:val="Style_74"/>
    <w:rPr>
      <w:color w:val="000000"/>
    </w:rPr>
  </w:style>
  <w:style w:styleId="Style_75" w:type="paragraph">
    <w:name w:val="Указатель1"/>
    <w:basedOn w:val="Style_8"/>
    <w:link w:val="Style_75_ch"/>
  </w:style>
  <w:style w:styleId="Style_75_ch" w:type="character">
    <w:name w:val="Указатель1"/>
    <w:basedOn w:val="Style_8_ch"/>
    <w:link w:val="Style_75"/>
  </w:style>
  <w:style w:styleId="Style_1" w:type="paragraph">
    <w:name w:val="header"/>
    <w:basedOn w:val="Style_8"/>
    <w:link w:val="Style_1_ch"/>
    <w:pPr>
      <w:tabs>
        <w:tab w:leader="none" w:pos="4819" w:val="center"/>
        <w:tab w:leader="none" w:pos="9639" w:val="right"/>
      </w:tabs>
      <w:ind/>
    </w:pPr>
  </w:style>
  <w:style w:styleId="Style_1_ch" w:type="character">
    <w:name w:val="header"/>
    <w:basedOn w:val="Style_8_ch"/>
    <w:link w:val="Style_1"/>
  </w:style>
  <w:style w:styleId="Style_76" w:type="paragraph">
    <w:name w:val="WW-Absatz-Standardschriftart111111111111111111111111111111111111"/>
    <w:link w:val="Style_76_ch"/>
    <w:rPr>
      <w:color w:val="000000"/>
    </w:rPr>
  </w:style>
  <w:style w:styleId="Style_76_ch" w:type="character">
    <w:name w:val="WW-Absatz-Standardschriftart111111111111111111111111111111111111"/>
    <w:link w:val="Style_76"/>
    <w:rPr>
      <w:color w:val="000000"/>
    </w:rPr>
  </w:style>
  <w:style w:styleId="Style_77" w:type="paragraph">
    <w:name w:val="WW-Absatz-Standardschriftart11111111111111111111111111111111111"/>
    <w:link w:val="Style_77_ch"/>
    <w:rPr>
      <w:color w:val="000000"/>
    </w:rPr>
  </w:style>
  <w:style w:styleId="Style_77_ch" w:type="character">
    <w:name w:val="WW-Absatz-Standardschriftart11111111111111111111111111111111111"/>
    <w:link w:val="Style_77"/>
    <w:rPr>
      <w:color w:val="000000"/>
    </w:rPr>
  </w:style>
  <w:style w:styleId="Style_78" w:type="paragraph">
    <w:name w:val="heading 5"/>
    <w:basedOn w:val="Style_8"/>
    <w:next w:val="Style_8"/>
    <w:link w:val="Style_78_ch"/>
    <w:uiPriority w:val="9"/>
    <w:qFormat/>
    <w:pPr>
      <w:keepNext w:val="1"/>
      <w:numPr>
        <w:ilvl w:val="4"/>
        <w:numId w:val="1"/>
      </w:numPr>
      <w:tabs>
        <w:tab w:leader="none" w:pos="7680" w:val="left"/>
      </w:tabs>
      <w:ind/>
      <w:jc w:val="center"/>
      <w:outlineLvl w:val="4"/>
    </w:pPr>
    <w:rPr>
      <w:b w:val="1"/>
      <w:sz w:val="32"/>
    </w:rPr>
  </w:style>
  <w:style w:styleId="Style_78_ch" w:type="character">
    <w:name w:val="heading 5"/>
    <w:basedOn w:val="Style_8_ch"/>
    <w:link w:val="Style_78"/>
    <w:rPr>
      <w:b w:val="1"/>
      <w:sz w:val="32"/>
    </w:rPr>
  </w:style>
  <w:style w:styleId="Style_4" w:type="paragraph">
    <w:name w:val="heading 1"/>
    <w:basedOn w:val="Style_8"/>
    <w:next w:val="Style_8"/>
    <w:link w:val="Style_4_ch"/>
    <w:uiPriority w:val="9"/>
    <w:qFormat/>
    <w:pPr>
      <w:keepNext w:val="1"/>
      <w:numPr>
        <w:numId w:val="1"/>
      </w:numPr>
      <w:ind/>
      <w:outlineLvl w:val="0"/>
    </w:pPr>
    <w:rPr>
      <w:sz w:val="28"/>
    </w:rPr>
  </w:style>
  <w:style w:styleId="Style_4_ch" w:type="character">
    <w:name w:val="heading 1"/>
    <w:basedOn w:val="Style_8_ch"/>
    <w:link w:val="Style_4"/>
    <w:rPr>
      <w:sz w:val="28"/>
    </w:rPr>
  </w:style>
  <w:style w:styleId="Style_79" w:type="paragraph">
    <w:name w:val="WW-Absatz-Standardschriftart111111"/>
    <w:link w:val="Style_79_ch"/>
    <w:rPr>
      <w:color w:val="000000"/>
    </w:rPr>
  </w:style>
  <w:style w:styleId="Style_79_ch" w:type="character">
    <w:name w:val="WW-Absatz-Standardschriftart111111"/>
    <w:link w:val="Style_79"/>
    <w:rPr>
      <w:color w:val="000000"/>
    </w:rPr>
  </w:style>
  <w:style w:styleId="Style_80" w:type="paragraph">
    <w:name w:val="WW-Absatz-Standardschriftart11111111111111111111111111111111111111111"/>
    <w:link w:val="Style_80_ch"/>
    <w:rPr>
      <w:color w:val="000000"/>
    </w:rPr>
  </w:style>
  <w:style w:styleId="Style_80_ch" w:type="character">
    <w:name w:val="WW-Absatz-Standardschriftart11111111111111111111111111111111111111111"/>
    <w:link w:val="Style_80"/>
    <w:rPr>
      <w:color w:val="000000"/>
    </w:rPr>
  </w:style>
  <w:style w:styleId="Style_81" w:type="paragraph">
    <w:name w:val="WW8Num1z5"/>
    <w:link w:val="Style_81_ch"/>
    <w:rPr>
      <w:color w:val="000000"/>
    </w:rPr>
  </w:style>
  <w:style w:styleId="Style_81_ch" w:type="character">
    <w:name w:val="WW8Num1z5"/>
    <w:link w:val="Style_81"/>
    <w:rPr>
      <w:color w:val="000000"/>
    </w:rPr>
  </w:style>
  <w:style w:styleId="Style_82" w:type="paragraph">
    <w:name w:val="Нормальный (таблица)"/>
    <w:basedOn w:val="Style_8"/>
    <w:next w:val="Style_8"/>
    <w:link w:val="Style_82_ch"/>
    <w:pPr>
      <w:widowControl w:val="0"/>
      <w:ind/>
      <w:jc w:val="both"/>
    </w:pPr>
    <w:rPr>
      <w:rFonts w:ascii="Arial" w:hAnsi="Arial"/>
    </w:rPr>
  </w:style>
  <w:style w:styleId="Style_82_ch" w:type="character">
    <w:name w:val="Нормальный (таблица)"/>
    <w:basedOn w:val="Style_8_ch"/>
    <w:link w:val="Style_82"/>
    <w:rPr>
      <w:rFonts w:ascii="Arial" w:hAnsi="Arial"/>
    </w:rPr>
  </w:style>
  <w:style w:styleId="Style_83" w:type="paragraph">
    <w:name w:val="Hyperlink"/>
    <w:link w:val="Style_83_ch"/>
    <w:rPr>
      <w:color w:val="0000FF"/>
      <w:u w:val="single"/>
    </w:rPr>
  </w:style>
  <w:style w:styleId="Style_83_ch" w:type="character">
    <w:name w:val="Hyperlink"/>
    <w:link w:val="Style_83"/>
    <w:rPr>
      <w:color w:val="0000FF"/>
      <w:u w:val="single"/>
    </w:rPr>
  </w:style>
  <w:style w:styleId="Style_84" w:type="paragraph">
    <w:name w:val="Footnote"/>
    <w:link w:val="Style_84_ch"/>
    <w:pPr>
      <w:ind w:firstLine="851" w:left="0"/>
      <w:jc w:val="both"/>
    </w:pPr>
    <w:rPr>
      <w:rFonts w:ascii="XO Thames" w:hAnsi="XO Thames"/>
      <w:color w:val="000000"/>
      <w:sz w:val="22"/>
    </w:rPr>
  </w:style>
  <w:style w:styleId="Style_84_ch" w:type="character">
    <w:name w:val="Footnote"/>
    <w:link w:val="Style_84"/>
    <w:rPr>
      <w:rFonts w:ascii="XO Thames" w:hAnsi="XO Thames"/>
      <w:color w:val="000000"/>
      <w:sz w:val="22"/>
    </w:rPr>
  </w:style>
  <w:style w:styleId="Style_85" w:type="paragraph">
    <w:name w:val="Название2"/>
    <w:basedOn w:val="Style_8"/>
    <w:link w:val="Style_85_ch"/>
    <w:pPr>
      <w:spacing w:after="120" w:before="120"/>
      <w:ind/>
    </w:pPr>
    <w:rPr>
      <w:i w:val="1"/>
    </w:rPr>
  </w:style>
  <w:style w:styleId="Style_85_ch" w:type="character">
    <w:name w:val="Название2"/>
    <w:basedOn w:val="Style_8_ch"/>
    <w:link w:val="Style_85"/>
    <w:rPr>
      <w:i w:val="1"/>
    </w:rPr>
  </w:style>
  <w:style w:styleId="Style_86" w:type="paragraph">
    <w:name w:val="WW-Absatz-Standardschriftart11111"/>
    <w:link w:val="Style_86_ch"/>
    <w:rPr>
      <w:color w:val="000000"/>
    </w:rPr>
  </w:style>
  <w:style w:styleId="Style_86_ch" w:type="character">
    <w:name w:val="WW-Absatz-Standardschriftart11111"/>
    <w:link w:val="Style_86"/>
    <w:rPr>
      <w:color w:val="000000"/>
    </w:rPr>
  </w:style>
  <w:style w:styleId="Style_87" w:type="paragraph">
    <w:name w:val="toc 1"/>
    <w:next w:val="Style_8"/>
    <w:link w:val="Style_87_ch"/>
    <w:uiPriority w:val="39"/>
    <w:rPr>
      <w:rFonts w:ascii="XO Thames" w:hAnsi="XO Thames"/>
      <w:b w:val="1"/>
      <w:color w:val="000000"/>
      <w:sz w:val="28"/>
    </w:rPr>
  </w:style>
  <w:style w:styleId="Style_87_ch" w:type="character">
    <w:name w:val="toc 1"/>
    <w:link w:val="Style_87"/>
    <w:rPr>
      <w:rFonts w:ascii="XO Thames" w:hAnsi="XO Thames"/>
      <w:b w:val="1"/>
      <w:color w:val="000000"/>
      <w:sz w:val="28"/>
    </w:rPr>
  </w:style>
  <w:style w:styleId="Style_88" w:type="paragraph">
    <w:name w:val="WW-Absatz-Standardschriftart111111111111111111111111"/>
    <w:link w:val="Style_88_ch"/>
    <w:rPr>
      <w:color w:val="000000"/>
    </w:rPr>
  </w:style>
  <w:style w:styleId="Style_88_ch" w:type="character">
    <w:name w:val="WW-Absatz-Standardschriftart111111111111111111111111"/>
    <w:link w:val="Style_88"/>
    <w:rPr>
      <w:color w:val="000000"/>
    </w:rPr>
  </w:style>
  <w:style w:styleId="Style_89" w:type="paragraph">
    <w:name w:val="WW-Absatz-Standardschriftart1111"/>
    <w:link w:val="Style_89_ch"/>
    <w:rPr>
      <w:color w:val="000000"/>
    </w:rPr>
  </w:style>
  <w:style w:styleId="Style_89_ch" w:type="character">
    <w:name w:val="WW-Absatz-Standardschriftart1111"/>
    <w:link w:val="Style_89"/>
    <w:rPr>
      <w:color w:val="000000"/>
    </w:rPr>
  </w:style>
  <w:style w:styleId="Style_90" w:type="paragraph">
    <w:name w:val="Header and Footer"/>
    <w:link w:val="Style_90_ch"/>
    <w:pPr>
      <w:ind/>
      <w:jc w:val="both"/>
    </w:pPr>
    <w:rPr>
      <w:rFonts w:ascii="XO Thames" w:hAnsi="XO Thames"/>
      <w:color w:val="000000"/>
      <w:sz w:val="28"/>
    </w:rPr>
  </w:style>
  <w:style w:styleId="Style_90_ch" w:type="character">
    <w:name w:val="Header and Footer"/>
    <w:link w:val="Style_90"/>
    <w:rPr>
      <w:rFonts w:ascii="XO Thames" w:hAnsi="XO Thames"/>
      <w:color w:val="000000"/>
      <w:sz w:val="28"/>
    </w:rPr>
  </w:style>
  <w:style w:styleId="Style_91" w:type="paragraph">
    <w:name w:val="Основной шрифт абзаца1_0_0"/>
    <w:link w:val="Style_91_ch"/>
    <w:rPr>
      <w:color w:val="000000"/>
    </w:rPr>
  </w:style>
  <w:style w:styleId="Style_91_ch" w:type="character">
    <w:name w:val="Основной шрифт абзаца1_0_0"/>
    <w:link w:val="Style_91"/>
    <w:rPr>
      <w:color w:val="000000"/>
    </w:rPr>
  </w:style>
  <w:style w:styleId="Style_92" w:type="paragraph">
    <w:name w:val="WW8Num1z6"/>
    <w:link w:val="Style_92_ch"/>
    <w:rPr>
      <w:color w:val="000000"/>
    </w:rPr>
  </w:style>
  <w:style w:styleId="Style_92_ch" w:type="character">
    <w:name w:val="WW8Num1z6"/>
    <w:link w:val="Style_92"/>
    <w:rPr>
      <w:color w:val="000000"/>
    </w:rPr>
  </w:style>
  <w:style w:styleId="Style_93" w:type="paragraph">
    <w:name w:val="WW-Absatz-Standardschriftart1111111111111"/>
    <w:link w:val="Style_93_ch"/>
    <w:rPr>
      <w:color w:val="000000"/>
    </w:rPr>
  </w:style>
  <w:style w:styleId="Style_93_ch" w:type="character">
    <w:name w:val="WW-Absatz-Standardschriftart1111111111111"/>
    <w:link w:val="Style_93"/>
    <w:rPr>
      <w:color w:val="000000"/>
    </w:rPr>
  </w:style>
  <w:style w:styleId="Style_94" w:type="paragraph">
    <w:name w:val="WW-Absatz-Standardschriftart111111111111111111111111111111111111111111"/>
    <w:link w:val="Style_94_ch"/>
    <w:rPr>
      <w:color w:val="000000"/>
    </w:rPr>
  </w:style>
  <w:style w:styleId="Style_94_ch" w:type="character">
    <w:name w:val="WW-Absatz-Standardschriftart111111111111111111111111111111111111111111"/>
    <w:link w:val="Style_94"/>
    <w:rPr>
      <w:color w:val="000000"/>
    </w:rPr>
  </w:style>
  <w:style w:styleId="Style_95" w:type="paragraph">
    <w:name w:val="toc 9"/>
    <w:next w:val="Style_8"/>
    <w:link w:val="Style_95_ch"/>
    <w:uiPriority w:val="39"/>
    <w:pPr>
      <w:ind w:firstLine="0" w:left="1600"/>
    </w:pPr>
    <w:rPr>
      <w:rFonts w:ascii="XO Thames" w:hAnsi="XO Thames"/>
      <w:color w:val="000000"/>
      <w:sz w:val="28"/>
    </w:rPr>
  </w:style>
  <w:style w:styleId="Style_95_ch" w:type="character">
    <w:name w:val="toc 9"/>
    <w:link w:val="Style_95"/>
    <w:rPr>
      <w:rFonts w:ascii="XO Thames" w:hAnsi="XO Thames"/>
      <w:color w:val="000000"/>
      <w:sz w:val="28"/>
    </w:rPr>
  </w:style>
  <w:style w:styleId="Style_96" w:type="paragraph">
    <w:name w:val="Цветовое выделение"/>
    <w:link w:val="Style_96_ch"/>
    <w:rPr>
      <w:b w:val="1"/>
      <w:color w:val="26282F"/>
    </w:rPr>
  </w:style>
  <w:style w:styleId="Style_96_ch" w:type="character">
    <w:name w:val="Цветовое выделение"/>
    <w:link w:val="Style_96"/>
    <w:rPr>
      <w:b w:val="1"/>
      <w:color w:val="26282F"/>
    </w:rPr>
  </w:style>
  <w:style w:styleId="Style_97" w:type="paragraph">
    <w:name w:val="WW-Absatz-Standardschriftart111111111111"/>
    <w:link w:val="Style_97_ch"/>
    <w:rPr>
      <w:color w:val="000000"/>
    </w:rPr>
  </w:style>
  <w:style w:styleId="Style_97_ch" w:type="character">
    <w:name w:val="WW-Absatz-Standardschriftart111111111111"/>
    <w:link w:val="Style_97"/>
    <w:rPr>
      <w:color w:val="000000"/>
    </w:rPr>
  </w:style>
  <w:style w:styleId="Style_98" w:type="paragraph">
    <w:name w:val="WW-Absatz-Standardschriftart111111111111111"/>
    <w:link w:val="Style_98_ch"/>
    <w:rPr>
      <w:color w:val="000000"/>
    </w:rPr>
  </w:style>
  <w:style w:styleId="Style_98_ch" w:type="character">
    <w:name w:val="WW-Absatz-Standardschriftart111111111111111"/>
    <w:link w:val="Style_98"/>
    <w:rPr>
      <w:color w:val="000000"/>
    </w:rPr>
  </w:style>
  <w:style w:styleId="Style_99" w:type="paragraph">
    <w:name w:val="WW-Absatz-Standardschriftart11111111111111"/>
    <w:link w:val="Style_99_ch"/>
    <w:rPr>
      <w:color w:val="000000"/>
    </w:rPr>
  </w:style>
  <w:style w:styleId="Style_99_ch" w:type="character">
    <w:name w:val="WW-Absatz-Standardschriftart11111111111111"/>
    <w:link w:val="Style_99"/>
    <w:rPr>
      <w:color w:val="000000"/>
    </w:rPr>
  </w:style>
  <w:style w:styleId="Style_100" w:type="paragraph">
    <w:name w:val="Символ нумерации"/>
    <w:link w:val="Style_100_ch"/>
    <w:rPr>
      <w:color w:val="000000"/>
    </w:rPr>
  </w:style>
  <w:style w:styleId="Style_100_ch" w:type="character">
    <w:name w:val="Символ нумерации"/>
    <w:link w:val="Style_100"/>
    <w:rPr>
      <w:color w:val="000000"/>
    </w:rPr>
  </w:style>
  <w:style w:styleId="Style_101" w:type="paragraph">
    <w:name w:val="toc 8"/>
    <w:next w:val="Style_8"/>
    <w:link w:val="Style_101_ch"/>
    <w:uiPriority w:val="39"/>
    <w:pPr>
      <w:ind w:firstLine="0" w:left="1400"/>
    </w:pPr>
    <w:rPr>
      <w:rFonts w:ascii="XO Thames" w:hAnsi="XO Thames"/>
      <w:color w:val="000000"/>
      <w:sz w:val="28"/>
    </w:rPr>
  </w:style>
  <w:style w:styleId="Style_101_ch" w:type="character">
    <w:name w:val="toc 8"/>
    <w:link w:val="Style_101"/>
    <w:rPr>
      <w:rFonts w:ascii="XO Thames" w:hAnsi="XO Thames"/>
      <w:color w:val="000000"/>
      <w:sz w:val="28"/>
    </w:rPr>
  </w:style>
  <w:style w:styleId="Style_102" w:type="paragraph">
    <w:name w:val="Default Paragraph Font"/>
    <w:link w:val="Style_102_ch"/>
  </w:style>
  <w:style w:styleId="Style_102_ch" w:type="character">
    <w:name w:val="Default Paragraph Font"/>
    <w:link w:val="Style_102"/>
  </w:style>
  <w:style w:styleId="Style_103" w:type="paragraph">
    <w:name w:val="WW8Num1z1"/>
    <w:link w:val="Style_103_ch"/>
    <w:rPr>
      <w:color w:val="000000"/>
    </w:rPr>
  </w:style>
  <w:style w:styleId="Style_103_ch" w:type="character">
    <w:name w:val="WW8Num1z1"/>
    <w:link w:val="Style_103"/>
    <w:rPr>
      <w:color w:val="000000"/>
    </w:rPr>
  </w:style>
  <w:style w:styleId="Style_104" w:type="paragraph">
    <w:name w:val="Гиперссылка1_1"/>
    <w:link w:val="Style_104_ch"/>
    <w:rPr>
      <w:color w:val="0000FF"/>
      <w:u w:val="single"/>
    </w:rPr>
  </w:style>
  <w:style w:styleId="Style_104_ch" w:type="character">
    <w:name w:val="Гиперссылка1_1"/>
    <w:link w:val="Style_104"/>
    <w:rPr>
      <w:color w:val="0000FF"/>
      <w:u w:val="single"/>
    </w:rPr>
  </w:style>
  <w:style w:styleId="Style_105" w:type="paragraph">
    <w:name w:val="WW8Num1z3"/>
    <w:link w:val="Style_105_ch"/>
    <w:rPr>
      <w:color w:val="000000"/>
    </w:rPr>
  </w:style>
  <w:style w:styleId="Style_105_ch" w:type="character">
    <w:name w:val="WW8Num1z3"/>
    <w:link w:val="Style_105"/>
    <w:rPr>
      <w:color w:val="000000"/>
    </w:rPr>
  </w:style>
  <w:style w:styleId="Style_106" w:type="paragraph">
    <w:name w:val="WW-Absatz-Standardschriftart1"/>
    <w:link w:val="Style_106_ch"/>
    <w:rPr>
      <w:color w:val="000000"/>
    </w:rPr>
  </w:style>
  <w:style w:styleId="Style_106_ch" w:type="character">
    <w:name w:val="WW-Absatz-Standardschriftart1"/>
    <w:link w:val="Style_106"/>
    <w:rPr>
      <w:color w:val="000000"/>
    </w:rPr>
  </w:style>
  <w:style w:styleId="Style_107" w:type="paragraph">
    <w:name w:val="WW-Absatz-Standardschriftart111111111111111111111111111111111111111"/>
    <w:link w:val="Style_107_ch"/>
    <w:rPr>
      <w:color w:val="000000"/>
    </w:rPr>
  </w:style>
  <w:style w:styleId="Style_107_ch" w:type="character">
    <w:name w:val="WW-Absatz-Standardschriftart111111111111111111111111111111111111111"/>
    <w:link w:val="Style_107"/>
    <w:rPr>
      <w:color w:val="000000"/>
    </w:rPr>
  </w:style>
  <w:style w:styleId="Style_108" w:type="paragraph">
    <w:name w:val="WW-Absatz-Standardschriftart111111111111111111111111111"/>
    <w:link w:val="Style_108_ch"/>
    <w:rPr>
      <w:color w:val="000000"/>
    </w:rPr>
  </w:style>
  <w:style w:styleId="Style_108_ch" w:type="character">
    <w:name w:val="WW-Absatz-Standardschriftart111111111111111111111111111"/>
    <w:link w:val="Style_108"/>
    <w:rPr>
      <w:color w:val="000000"/>
    </w:rPr>
  </w:style>
  <w:style w:styleId="Style_109" w:type="paragraph">
    <w:name w:val="Основной шрифт абзаца1"/>
    <w:link w:val="Style_109_ch"/>
    <w:rPr>
      <w:color w:val="000000"/>
    </w:rPr>
  </w:style>
  <w:style w:styleId="Style_109_ch" w:type="character">
    <w:name w:val="Основной шрифт абзаца1"/>
    <w:link w:val="Style_109"/>
    <w:rPr>
      <w:color w:val="000000"/>
    </w:rPr>
  </w:style>
  <w:style w:styleId="Style_110" w:type="paragraph">
    <w:name w:val="Обычный1_0_0"/>
    <w:link w:val="Style_110_ch"/>
    <w:rPr>
      <w:color w:val="000000"/>
      <w:sz w:val="24"/>
    </w:rPr>
  </w:style>
  <w:style w:styleId="Style_110_ch" w:type="character">
    <w:name w:val="Обычный1_0_0"/>
    <w:link w:val="Style_110"/>
    <w:rPr>
      <w:color w:val="000000"/>
      <w:sz w:val="24"/>
    </w:rPr>
  </w:style>
  <w:style w:styleId="Style_111" w:type="paragraph">
    <w:name w:val="Normal (Web)"/>
    <w:basedOn w:val="Style_8"/>
    <w:link w:val="Style_111_ch"/>
    <w:pPr>
      <w:spacing w:after="120"/>
      <w:ind w:firstLine="0" w:left="283"/>
    </w:pPr>
    <w:rPr>
      <w:sz w:val="16"/>
    </w:rPr>
  </w:style>
  <w:style w:styleId="Style_111_ch" w:type="character">
    <w:name w:val="Normal (Web)"/>
    <w:basedOn w:val="Style_8_ch"/>
    <w:link w:val="Style_111"/>
    <w:rPr>
      <w:sz w:val="16"/>
    </w:rPr>
  </w:style>
  <w:style w:styleId="Style_112" w:type="paragraph">
    <w:name w:val="WW-Absatz-Standardschriftart11111111111111111"/>
    <w:link w:val="Style_112_ch"/>
    <w:rPr>
      <w:color w:val="000000"/>
    </w:rPr>
  </w:style>
  <w:style w:styleId="Style_112_ch" w:type="character">
    <w:name w:val="WW-Absatz-Standardschriftart11111111111111111"/>
    <w:link w:val="Style_112"/>
    <w:rPr>
      <w:color w:val="000000"/>
    </w:rPr>
  </w:style>
  <w:style w:styleId="Style_113" w:type="paragraph">
    <w:name w:val="WW-Absatz-Standardschriftart111111111"/>
    <w:link w:val="Style_113_ch"/>
    <w:rPr>
      <w:color w:val="000000"/>
    </w:rPr>
  </w:style>
  <w:style w:styleId="Style_113_ch" w:type="character">
    <w:name w:val="WW-Absatz-Standardschriftart111111111"/>
    <w:link w:val="Style_113"/>
    <w:rPr>
      <w:color w:val="000000"/>
    </w:rPr>
  </w:style>
  <w:style w:styleId="Style_114" w:type="paragraph">
    <w:name w:val="WW-Absatz-Standardschriftart1111111111111111111111111111111111111"/>
    <w:link w:val="Style_114_ch"/>
    <w:rPr>
      <w:color w:val="000000"/>
    </w:rPr>
  </w:style>
  <w:style w:styleId="Style_114_ch" w:type="character">
    <w:name w:val="WW-Absatz-Standardschriftart1111111111111111111111111111111111111"/>
    <w:link w:val="Style_114"/>
    <w:rPr>
      <w:color w:val="000000"/>
    </w:rPr>
  </w:style>
  <w:style w:styleId="Style_115" w:type="paragraph">
    <w:name w:val="toc 5"/>
    <w:next w:val="Style_8"/>
    <w:link w:val="Style_115_ch"/>
    <w:uiPriority w:val="39"/>
    <w:pPr>
      <w:ind w:firstLine="0" w:left="800"/>
    </w:pPr>
    <w:rPr>
      <w:rFonts w:ascii="XO Thames" w:hAnsi="XO Thames"/>
      <w:color w:val="000000"/>
      <w:sz w:val="28"/>
    </w:rPr>
  </w:style>
  <w:style w:styleId="Style_115_ch" w:type="character">
    <w:name w:val="toc 5"/>
    <w:link w:val="Style_115"/>
    <w:rPr>
      <w:rFonts w:ascii="XO Thames" w:hAnsi="XO Thames"/>
      <w:color w:val="000000"/>
      <w:sz w:val="28"/>
    </w:rPr>
  </w:style>
  <w:style w:styleId="Style_116" w:type="paragraph">
    <w:name w:val="Знак Знак5 Знак Знак"/>
    <w:basedOn w:val="Style_8"/>
    <w:link w:val="Style_116_ch"/>
    <w:pPr>
      <w:spacing w:after="160" w:line="240" w:lineRule="exact"/>
      <w:ind/>
    </w:pPr>
    <w:rPr>
      <w:rFonts w:ascii="Verdana" w:hAnsi="Verdana"/>
      <w:sz w:val="20"/>
    </w:rPr>
  </w:style>
  <w:style w:styleId="Style_116_ch" w:type="character">
    <w:name w:val="Знак Знак5 Знак Знак"/>
    <w:basedOn w:val="Style_8_ch"/>
    <w:link w:val="Style_116"/>
    <w:rPr>
      <w:rFonts w:ascii="Verdana" w:hAnsi="Verdana"/>
      <w:sz w:val="20"/>
    </w:rPr>
  </w:style>
  <w:style w:styleId="Style_117" w:type="paragraph">
    <w:name w:val="WW-Absatz-Standardschriftart1111111111111111111111111"/>
    <w:link w:val="Style_117_ch"/>
    <w:rPr>
      <w:color w:val="000000"/>
    </w:rPr>
  </w:style>
  <w:style w:styleId="Style_117_ch" w:type="character">
    <w:name w:val="WW-Absatz-Standardschriftart1111111111111111111111111"/>
    <w:link w:val="Style_117"/>
    <w:rPr>
      <w:color w:val="000000"/>
    </w:rPr>
  </w:style>
  <w:style w:styleId="Style_118" w:type="paragraph">
    <w:name w:val="Указатель3"/>
    <w:basedOn w:val="Style_8"/>
    <w:link w:val="Style_118_ch"/>
  </w:style>
  <w:style w:styleId="Style_118_ch" w:type="character">
    <w:name w:val="Указатель3"/>
    <w:basedOn w:val="Style_8_ch"/>
    <w:link w:val="Style_118"/>
  </w:style>
  <w:style w:styleId="Style_119" w:type="paragraph">
    <w:name w:val="Заголовок таблицы"/>
    <w:basedOn w:val="Style_46"/>
    <w:link w:val="Style_119_ch"/>
    <w:pPr>
      <w:ind/>
      <w:jc w:val="center"/>
    </w:pPr>
    <w:rPr>
      <w:b w:val="1"/>
    </w:rPr>
  </w:style>
  <w:style w:styleId="Style_119_ch" w:type="character">
    <w:name w:val="Заголовок таблицы"/>
    <w:basedOn w:val="Style_46_ch"/>
    <w:link w:val="Style_119"/>
    <w:rPr>
      <w:b w:val="1"/>
    </w:rPr>
  </w:style>
  <w:style w:styleId="Style_120" w:type="paragraph">
    <w:name w:val="WW-Absatz-Standardschriftart1111111111"/>
    <w:link w:val="Style_120_ch"/>
    <w:rPr>
      <w:color w:val="000000"/>
    </w:rPr>
  </w:style>
  <w:style w:styleId="Style_120_ch" w:type="character">
    <w:name w:val="WW-Absatz-Standardschriftart1111111111"/>
    <w:link w:val="Style_120"/>
    <w:rPr>
      <w:color w:val="000000"/>
    </w:rPr>
  </w:style>
  <w:style w:styleId="Style_121" w:type="paragraph">
    <w:name w:val="WW-Absatz-Standardschriftart1111111111111111111111111111111"/>
    <w:link w:val="Style_121_ch"/>
    <w:rPr>
      <w:color w:val="000000"/>
    </w:rPr>
  </w:style>
  <w:style w:styleId="Style_121_ch" w:type="character">
    <w:name w:val="WW-Absatz-Standardschriftart1111111111111111111111111111111"/>
    <w:link w:val="Style_121"/>
    <w:rPr>
      <w:color w:val="000000"/>
    </w:rPr>
  </w:style>
  <w:style w:styleId="Style_122" w:type="paragraph">
    <w:name w:val="WW8Num1z2"/>
    <w:link w:val="Style_122_ch"/>
    <w:rPr>
      <w:color w:val="000000"/>
    </w:rPr>
  </w:style>
  <w:style w:styleId="Style_122_ch" w:type="character">
    <w:name w:val="WW8Num1z2"/>
    <w:link w:val="Style_122"/>
    <w:rPr>
      <w:color w:val="000000"/>
    </w:rPr>
  </w:style>
  <w:style w:styleId="Style_123" w:type="paragraph">
    <w:name w:val="Subtitle"/>
    <w:next w:val="Style_8"/>
    <w:link w:val="Style_123_ch"/>
    <w:uiPriority w:val="11"/>
    <w:qFormat/>
    <w:pPr>
      <w:ind/>
      <w:jc w:val="both"/>
    </w:pPr>
    <w:rPr>
      <w:rFonts w:ascii="XO Thames" w:hAnsi="XO Thames"/>
      <w:i w:val="1"/>
      <w:color w:val="000000"/>
      <w:sz w:val="24"/>
    </w:rPr>
  </w:style>
  <w:style w:styleId="Style_123_ch" w:type="character">
    <w:name w:val="Subtitle"/>
    <w:link w:val="Style_123"/>
    <w:rPr>
      <w:rFonts w:ascii="XO Thames" w:hAnsi="XO Thames"/>
      <w:i w:val="1"/>
      <w:color w:val="000000"/>
      <w:sz w:val="24"/>
    </w:rPr>
  </w:style>
  <w:style w:styleId="Style_124" w:type="paragraph">
    <w:name w:val="Название3"/>
    <w:basedOn w:val="Style_8"/>
    <w:link w:val="Style_124_ch"/>
    <w:pPr>
      <w:spacing w:after="120" w:before="120"/>
      <w:ind/>
    </w:pPr>
    <w:rPr>
      <w:i w:val="1"/>
    </w:rPr>
  </w:style>
  <w:style w:styleId="Style_124_ch" w:type="character">
    <w:name w:val="Название3"/>
    <w:basedOn w:val="Style_8_ch"/>
    <w:link w:val="Style_124"/>
    <w:rPr>
      <w:i w:val="1"/>
    </w:rPr>
  </w:style>
  <w:style w:styleId="Style_125" w:type="paragraph">
    <w:name w:val="WW-Absatz-Standardschriftart1111111111111111111111111111111111"/>
    <w:link w:val="Style_125_ch"/>
    <w:rPr>
      <w:color w:val="000000"/>
    </w:rPr>
  </w:style>
  <w:style w:styleId="Style_125_ch" w:type="character">
    <w:name w:val="WW-Absatz-Standardschriftart1111111111111111111111111111111111"/>
    <w:link w:val="Style_125"/>
    <w:rPr>
      <w:color w:val="000000"/>
    </w:rPr>
  </w:style>
  <w:style w:styleId="Style_126" w:type="paragraph">
    <w:name w:val="Title"/>
    <w:basedOn w:val="Style_8"/>
    <w:next w:val="Style_21"/>
    <w:link w:val="Style_126_ch"/>
    <w:uiPriority w:val="10"/>
    <w:qFormat/>
    <w:pPr>
      <w:keepNext w:val="1"/>
      <w:spacing w:after="120" w:before="240"/>
      <w:ind/>
    </w:pPr>
    <w:rPr>
      <w:rFonts w:ascii="Arial" w:hAnsi="Arial"/>
      <w:sz w:val="28"/>
    </w:rPr>
  </w:style>
  <w:style w:styleId="Style_126_ch" w:type="character">
    <w:name w:val="Title"/>
    <w:basedOn w:val="Style_8_ch"/>
    <w:link w:val="Style_126"/>
    <w:rPr>
      <w:rFonts w:ascii="Arial" w:hAnsi="Arial"/>
      <w:sz w:val="28"/>
    </w:rPr>
  </w:style>
  <w:style w:styleId="Style_127" w:type="paragraph">
    <w:name w:val="Обычный1_2"/>
    <w:link w:val="Style_127_ch"/>
    <w:rPr>
      <w:color w:val="000000"/>
      <w:sz w:val="24"/>
    </w:rPr>
  </w:style>
  <w:style w:styleId="Style_127_ch" w:type="character">
    <w:name w:val="Обычный1_2"/>
    <w:link w:val="Style_127"/>
    <w:rPr>
      <w:color w:val="000000"/>
      <w:sz w:val="24"/>
    </w:rPr>
  </w:style>
  <w:style w:styleId="Style_128" w:type="paragraph">
    <w:name w:val="heading 4"/>
    <w:next w:val="Style_8"/>
    <w:link w:val="Style_128_ch"/>
    <w:uiPriority w:val="9"/>
    <w:qFormat/>
    <w:pPr>
      <w:spacing w:after="120" w:before="120"/>
      <w:ind/>
      <w:jc w:val="both"/>
      <w:outlineLvl w:val="3"/>
    </w:pPr>
    <w:rPr>
      <w:rFonts w:ascii="XO Thames" w:hAnsi="XO Thames"/>
      <w:b w:val="1"/>
      <w:color w:val="000000"/>
      <w:sz w:val="24"/>
    </w:rPr>
  </w:style>
  <w:style w:styleId="Style_128_ch" w:type="character">
    <w:name w:val="heading 4"/>
    <w:link w:val="Style_128"/>
    <w:rPr>
      <w:rFonts w:ascii="XO Thames" w:hAnsi="XO Thames"/>
      <w:b w:val="1"/>
      <w:color w:val="000000"/>
      <w:sz w:val="24"/>
    </w:rPr>
  </w:style>
  <w:style w:styleId="Style_129" w:type="paragraph">
    <w:name w:val="Таблицы (моноширинный)"/>
    <w:basedOn w:val="Style_8"/>
    <w:next w:val="Style_8"/>
    <w:link w:val="Style_129_ch"/>
    <w:pPr>
      <w:widowControl w:val="0"/>
      <w:ind/>
    </w:pPr>
    <w:rPr>
      <w:rFonts w:ascii="Courier New" w:hAnsi="Courier New"/>
    </w:rPr>
  </w:style>
  <w:style w:styleId="Style_129_ch" w:type="character">
    <w:name w:val="Таблицы (моноширинный)"/>
    <w:basedOn w:val="Style_8_ch"/>
    <w:link w:val="Style_129"/>
    <w:rPr>
      <w:rFonts w:ascii="Courier New" w:hAnsi="Courier New"/>
    </w:rPr>
  </w:style>
  <w:style w:styleId="Style_130" w:type="paragraph">
    <w:name w:val="Основной шрифт абзаца5"/>
    <w:link w:val="Style_130_ch"/>
    <w:rPr>
      <w:color w:val="000000"/>
    </w:rPr>
  </w:style>
  <w:style w:styleId="Style_130_ch" w:type="character">
    <w:name w:val="Основной шрифт абзаца5"/>
    <w:link w:val="Style_130"/>
    <w:rPr>
      <w:color w:val="000000"/>
    </w:rPr>
  </w:style>
  <w:style w:styleId="Style_131" w:type="paragraph">
    <w:name w:val="heading 2"/>
    <w:next w:val="Style_8"/>
    <w:link w:val="Style_131_ch"/>
    <w:uiPriority w:val="9"/>
    <w:qFormat/>
    <w:pPr>
      <w:spacing w:after="120" w:before="120"/>
      <w:ind/>
      <w:jc w:val="both"/>
      <w:outlineLvl w:val="1"/>
    </w:pPr>
    <w:rPr>
      <w:rFonts w:ascii="XO Thames" w:hAnsi="XO Thames"/>
      <w:b w:val="1"/>
      <w:color w:val="000000"/>
      <w:sz w:val="28"/>
    </w:rPr>
  </w:style>
  <w:style w:styleId="Style_131_ch" w:type="character">
    <w:name w:val="heading 2"/>
    <w:link w:val="Style_131"/>
    <w:rPr>
      <w:rFonts w:ascii="XO Thames" w:hAnsi="XO Thames"/>
      <w:b w:val="1"/>
      <w:color w:val="000000"/>
      <w:sz w:val="28"/>
    </w:rPr>
  </w:style>
  <w:style w:styleId="Style_132" w:type="paragraph">
    <w:name w:val="WW-Absatz-Standardschriftart111111111111111111111"/>
    <w:link w:val="Style_132_ch"/>
    <w:rPr>
      <w:color w:val="000000"/>
    </w:rPr>
  </w:style>
  <w:style w:styleId="Style_132_ch" w:type="character">
    <w:name w:val="WW-Absatz-Standardschriftart111111111111111111111"/>
    <w:link w:val="Style_132"/>
    <w:rPr>
      <w:color w:val="000000"/>
    </w:rPr>
  </w:style>
  <w:style w:styleId="Style_133" w:type="paragraph">
    <w:name w:val="List"/>
    <w:basedOn w:val="Style_21"/>
    <w:link w:val="Style_133_ch"/>
  </w:style>
  <w:style w:styleId="Style_133_ch" w:type="character">
    <w:name w:val="List"/>
    <w:basedOn w:val="Style_21_ch"/>
    <w:link w:val="Style_133"/>
  </w:style>
  <w:style w:styleId="Style_134" w:type="paragraph">
    <w:name w:val="Body Text Indent"/>
    <w:basedOn w:val="Style_8"/>
    <w:link w:val="Style_134_ch"/>
    <w:pPr>
      <w:ind w:firstLine="0" w:left="432"/>
      <w:jc w:val="both"/>
    </w:pPr>
    <w:rPr>
      <w:sz w:val="28"/>
    </w:rPr>
  </w:style>
  <w:style w:styleId="Style_134_ch" w:type="character">
    <w:name w:val="Body Text Indent"/>
    <w:basedOn w:val="Style_8_ch"/>
    <w:link w:val="Style_134"/>
    <w:rPr>
      <w:sz w:val="28"/>
    </w:rPr>
  </w:style>
  <w:style w:styleId="Style_135" w:type="paragraph">
    <w:name w:val="Гиперссылка2"/>
    <w:link w:val="Style_135_ch"/>
    <w:rPr>
      <w:color w:val="0000FF"/>
      <w:u w:val="single"/>
    </w:rPr>
  </w:style>
  <w:style w:styleId="Style_135_ch" w:type="character">
    <w:name w:val="Гиперссылка2"/>
    <w:link w:val="Style_135"/>
    <w:rPr>
      <w:color w:val="0000FF"/>
      <w:u w:val="single"/>
    </w:rPr>
  </w:style>
  <w:style w:styleId="Style_136"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2026-04-08T11:32:25Z</dcterms:modified>
</cp:coreProperties>
</file>